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FD1A5" w14:textId="77777777" w:rsidR="00CA4D49" w:rsidRPr="00D03388" w:rsidRDefault="00CA4D49" w:rsidP="00EA55E4">
      <w:pPr>
        <w:spacing w:after="0" w:line="240" w:lineRule="auto"/>
        <w:ind w:firstLine="706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D03388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Consiliului de </w:t>
      </w:r>
      <w:proofErr w:type="spellStart"/>
      <w:r w:rsidRPr="00D03388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Administraţie</w:t>
      </w:r>
      <w:proofErr w:type="spellEnd"/>
      <w:r w:rsidRPr="00D03388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al ANRE</w:t>
      </w:r>
    </w:p>
    <w:p w14:paraId="2B5A5EEA" w14:textId="77777777" w:rsidR="00A6688E" w:rsidRPr="00D03388" w:rsidRDefault="00A6688E" w:rsidP="00EA55E4">
      <w:pPr>
        <w:spacing w:after="0" w:line="240" w:lineRule="auto"/>
        <w:ind w:firstLine="706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0365FB8F" w14:textId="77777777" w:rsidR="002266D2" w:rsidRPr="00D03388" w:rsidRDefault="002266D2" w:rsidP="00EA55E4">
      <w:pPr>
        <w:spacing w:after="0" w:line="240" w:lineRule="auto"/>
        <w:ind w:firstLine="706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44091D68" w14:textId="77777777" w:rsidR="002266D2" w:rsidRPr="00D03388" w:rsidRDefault="002266D2" w:rsidP="00EA55E4">
      <w:pPr>
        <w:spacing w:after="0" w:line="240" w:lineRule="auto"/>
        <w:ind w:firstLine="706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773AAB61" w14:textId="7A705F68" w:rsidR="00CA6883" w:rsidRPr="00D03388" w:rsidRDefault="00F51EEB" w:rsidP="00EA55E4">
      <w:pPr>
        <w:spacing w:after="0" w:line="240" w:lineRule="auto"/>
        <w:ind w:firstLine="706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D03388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Nota </w:t>
      </w:r>
      <w:r w:rsidR="00CA4D49" w:rsidRPr="00D03388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informativă</w:t>
      </w:r>
      <w:r w:rsidR="0070770E" w:rsidRPr="00D03388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</w:t>
      </w:r>
    </w:p>
    <w:p w14:paraId="4EB2F7AE" w14:textId="79BCF957" w:rsidR="00193B13" w:rsidRDefault="001154D7" w:rsidP="00EA55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D03388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1A4113" w:rsidRPr="00D03388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privind aprobarea propunerii de proiect </w:t>
      </w:r>
      <w:r w:rsidR="000F0BC5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pentru</w:t>
      </w:r>
      <w:r w:rsidR="001A4113" w:rsidRPr="00D03388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capacitate</w:t>
      </w:r>
      <w:r w:rsidR="000F0BC5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a</w:t>
      </w:r>
      <w:r w:rsidR="001A4113" w:rsidRPr="00D03388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incrementală la punctele de interconectare dintre sistemele de transport al gazelor naturale ale</w:t>
      </w:r>
    </w:p>
    <w:p w14:paraId="3F5A4800" w14:textId="09AD0C06" w:rsidR="001A4113" w:rsidRPr="00D03388" w:rsidRDefault="001A4113" w:rsidP="00EA55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D03388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Republicii Moldova și Ucrainei</w:t>
      </w:r>
    </w:p>
    <w:p w14:paraId="41CFF4F0" w14:textId="77777777" w:rsidR="001A4113" w:rsidRPr="00D03388" w:rsidRDefault="001A4113" w:rsidP="00EA55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14:paraId="0FA7905E" w14:textId="77777777" w:rsidR="009032FB" w:rsidRDefault="009032FB" w:rsidP="00EA55E4">
      <w:pPr>
        <w:spacing w:after="0" w:line="240" w:lineRule="auto"/>
        <w:ind w:left="7" w:right="-1" w:firstLine="702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14:paraId="3F797E98" w14:textId="2436806D" w:rsidR="00B118A9" w:rsidRDefault="009032FB" w:rsidP="00520539">
      <w:pPr>
        <w:spacing w:after="0" w:line="240" w:lineRule="auto"/>
        <w:ind w:left="7" w:right="-1" w:firstLine="56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>
        <w:rPr>
          <w:rFonts w:ascii="Times New Roman" w:eastAsia="Times New Roman" w:hAnsi="Times New Roman"/>
          <w:sz w:val="24"/>
          <w:szCs w:val="24"/>
          <w:lang w:val="ro-MD"/>
        </w:rPr>
        <w:t xml:space="preserve">În temeiul pct. </w:t>
      </w:r>
      <w:r w:rsidRPr="00D03388">
        <w:rPr>
          <w:rFonts w:ascii="Times New Roman" w:eastAsia="Times New Roman" w:hAnsi="Times New Roman"/>
          <w:sz w:val="24"/>
          <w:szCs w:val="24"/>
        </w:rPr>
        <w:t xml:space="preserve">pct. 281 din </w:t>
      </w:r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Codul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  <w:lang w:val="ro-MD"/>
        </w:rPr>
        <w:t>reţelelor</w:t>
      </w:r>
      <w:proofErr w:type="spellEnd"/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de gaze naturale</w:t>
      </w:r>
      <w:r w:rsidR="00193B13">
        <w:rPr>
          <w:rFonts w:ascii="Times New Roman" w:eastAsia="Times New Roman" w:hAnsi="Times New Roman"/>
          <w:sz w:val="24"/>
          <w:szCs w:val="24"/>
          <w:lang w:val="ro-MD"/>
        </w:rPr>
        <w:t>,</w:t>
      </w:r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aprobat prin </w:t>
      </w:r>
      <w:hyperlink r:id="rId8" w:history="1">
        <w:r w:rsidRPr="00D03388">
          <w:rPr>
            <w:rFonts w:ascii="Times New Roman" w:eastAsia="Times New Roman" w:hAnsi="Times New Roman"/>
            <w:sz w:val="24"/>
            <w:szCs w:val="24"/>
            <w:lang w:val="ro-MD"/>
          </w:rPr>
          <w:t xml:space="preserve">Hotărârea ANRE nr. 420/2019 </w:t>
        </w:r>
      </w:hyperlink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(Codul rețelelor) în care s-a transpus </w:t>
      </w:r>
      <w:r w:rsidRPr="002851E2">
        <w:rPr>
          <w:rFonts w:ascii="Times New Roman" w:eastAsia="Times New Roman" w:hAnsi="Times New Roman"/>
          <w:b/>
          <w:i/>
          <w:sz w:val="24"/>
          <w:szCs w:val="24"/>
          <w:lang w:val="ro-MD"/>
        </w:rPr>
        <w:t xml:space="preserve">Regulamentul (UE) Nr. 2017/459 de stabilire a unui cod al </w:t>
      </w:r>
      <w:proofErr w:type="spellStart"/>
      <w:r w:rsidRPr="002851E2">
        <w:rPr>
          <w:rFonts w:ascii="Times New Roman" w:eastAsia="Times New Roman" w:hAnsi="Times New Roman"/>
          <w:b/>
          <w:i/>
          <w:sz w:val="24"/>
          <w:szCs w:val="24"/>
          <w:lang w:val="ro-MD"/>
        </w:rPr>
        <w:t>reţelei</w:t>
      </w:r>
      <w:proofErr w:type="spellEnd"/>
      <w:r w:rsidRPr="002851E2">
        <w:rPr>
          <w:rFonts w:ascii="Times New Roman" w:eastAsia="Times New Roman" w:hAnsi="Times New Roman"/>
          <w:b/>
          <w:i/>
          <w:sz w:val="24"/>
          <w:szCs w:val="24"/>
          <w:lang w:val="ro-MD"/>
        </w:rPr>
        <w:t xml:space="preserve"> privind mecanismele de alocare a </w:t>
      </w:r>
      <w:proofErr w:type="spellStart"/>
      <w:r w:rsidRPr="002851E2">
        <w:rPr>
          <w:rFonts w:ascii="Times New Roman" w:eastAsia="Times New Roman" w:hAnsi="Times New Roman"/>
          <w:b/>
          <w:i/>
          <w:sz w:val="24"/>
          <w:szCs w:val="24"/>
          <w:lang w:val="ro-MD"/>
        </w:rPr>
        <w:t>capacităţii</w:t>
      </w:r>
      <w:proofErr w:type="spellEnd"/>
      <w:r w:rsidRPr="002851E2">
        <w:rPr>
          <w:rFonts w:ascii="Times New Roman" w:eastAsia="Times New Roman" w:hAnsi="Times New Roman"/>
          <w:b/>
          <w:i/>
          <w:sz w:val="24"/>
          <w:szCs w:val="24"/>
          <w:lang w:val="ro-MD"/>
        </w:rPr>
        <w:t xml:space="preserve"> în sistemele de transport al gazelor </w:t>
      </w:r>
      <w:r w:rsidRPr="002851E2">
        <w:rPr>
          <w:rFonts w:ascii="Times New Roman" w:eastAsia="Times New Roman" w:hAnsi="Times New Roman"/>
          <w:b/>
          <w:sz w:val="24"/>
          <w:szCs w:val="24"/>
          <w:lang w:val="ro-MD"/>
        </w:rPr>
        <w:t>(Regulamentul UE 2017/459</w:t>
      </w:r>
      <w:r w:rsidRPr="002851E2">
        <w:rPr>
          <w:rFonts w:ascii="Times New Roman" w:eastAsia="Times New Roman" w:hAnsi="Times New Roman"/>
          <w:i/>
          <w:color w:val="1F4E79" w:themeColor="accent1" w:themeShade="80"/>
          <w:sz w:val="24"/>
          <w:szCs w:val="24"/>
          <w:lang w:val="ro-MD"/>
        </w:rPr>
        <w:t>)</w:t>
      </w:r>
      <w:r w:rsidRPr="009032FB">
        <w:rPr>
          <w:rFonts w:ascii="Times New Roman" w:eastAsia="Times New Roman" w:hAnsi="Times New Roman"/>
          <w:i/>
          <w:sz w:val="24"/>
          <w:szCs w:val="24"/>
          <w:lang w:val="ro-MD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MD"/>
        </w:rPr>
        <w:t>o</w:t>
      </w:r>
      <w:r w:rsidR="006401C0" w:rsidRPr="00D03388">
        <w:rPr>
          <w:rFonts w:ascii="Times New Roman" w:eastAsia="Times New Roman" w:hAnsi="Times New Roman"/>
          <w:sz w:val="24"/>
          <w:szCs w:val="24"/>
          <w:lang w:val="ro-MD"/>
        </w:rPr>
        <w:t>perator</w:t>
      </w:r>
      <w:r>
        <w:rPr>
          <w:rFonts w:ascii="Times New Roman" w:eastAsia="Times New Roman" w:hAnsi="Times New Roman"/>
          <w:sz w:val="24"/>
          <w:szCs w:val="24"/>
          <w:lang w:val="ro-MD"/>
        </w:rPr>
        <w:t xml:space="preserve">ul </w:t>
      </w:r>
      <w:r w:rsidR="006401C0" w:rsidRPr="00D03388">
        <w:rPr>
          <w:rFonts w:ascii="Times New Roman" w:eastAsia="Times New Roman" w:hAnsi="Times New Roman"/>
          <w:sz w:val="24"/>
          <w:szCs w:val="24"/>
          <w:lang w:val="ro-MD"/>
        </w:rPr>
        <w:t>sistemului de transport al gazelor naturale (OST) SRL „</w:t>
      </w:r>
      <w:proofErr w:type="spellStart"/>
      <w:r w:rsidR="006401C0" w:rsidRPr="00D03388">
        <w:rPr>
          <w:rFonts w:ascii="Times New Roman" w:eastAsia="Times New Roman" w:hAnsi="Times New Roman"/>
          <w:sz w:val="24"/>
          <w:szCs w:val="24"/>
          <w:lang w:val="ro-MD"/>
        </w:rPr>
        <w:t>Vestmoldtransgaz</w:t>
      </w:r>
      <w:proofErr w:type="spellEnd"/>
      <w:r w:rsidR="006401C0" w:rsidRPr="00D03388">
        <w:rPr>
          <w:rFonts w:ascii="Times New Roman" w:eastAsia="Times New Roman" w:hAnsi="Times New Roman"/>
          <w:sz w:val="24"/>
          <w:szCs w:val="24"/>
          <w:lang w:val="ro-MD"/>
        </w:rPr>
        <w:t>” (VMTG) și OST din Ucraina (GTSOU), au prezentat la ANRE</w:t>
      </w:r>
      <w:r w:rsidR="00B118A9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o</w:t>
      </w:r>
      <w:r w:rsidR="006401C0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="006401C0" w:rsidRPr="009032FB">
        <w:rPr>
          <w:rFonts w:ascii="Times New Roman" w:eastAsia="Times New Roman" w:hAnsi="Times New Roman"/>
          <w:sz w:val="24"/>
          <w:szCs w:val="24"/>
          <w:u w:val="single"/>
          <w:lang w:val="ro-MD"/>
        </w:rPr>
        <w:t>propunere comună</w:t>
      </w:r>
      <w:r w:rsidR="006401C0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de </w:t>
      </w:r>
      <w:r w:rsidR="006401C0" w:rsidRPr="00D03388">
        <w:rPr>
          <w:rFonts w:ascii="Times New Roman" w:eastAsia="Times New Roman" w:hAnsi="Times New Roman"/>
          <w:i/>
          <w:sz w:val="24"/>
          <w:szCs w:val="24"/>
          <w:lang w:val="ro-MD"/>
        </w:rPr>
        <w:t xml:space="preserve">Proiect </w:t>
      </w:r>
      <w:r w:rsidR="00EA55E4">
        <w:rPr>
          <w:rFonts w:ascii="Times New Roman" w:eastAsia="Times New Roman" w:hAnsi="Times New Roman"/>
          <w:i/>
          <w:sz w:val="24"/>
          <w:szCs w:val="24"/>
          <w:lang w:val="ro-MD"/>
        </w:rPr>
        <w:t>pentru</w:t>
      </w:r>
      <w:r w:rsidR="006401C0" w:rsidRPr="00D03388">
        <w:rPr>
          <w:rFonts w:ascii="Times New Roman" w:eastAsia="Times New Roman" w:hAnsi="Times New Roman"/>
          <w:i/>
          <w:sz w:val="24"/>
          <w:szCs w:val="24"/>
          <w:lang w:val="ro-MD"/>
        </w:rPr>
        <w:t xml:space="preserve"> capacitate</w:t>
      </w:r>
      <w:r w:rsidR="00EA55E4">
        <w:rPr>
          <w:rFonts w:ascii="Times New Roman" w:eastAsia="Times New Roman" w:hAnsi="Times New Roman"/>
          <w:i/>
          <w:sz w:val="24"/>
          <w:szCs w:val="24"/>
          <w:lang w:val="ro-MD"/>
        </w:rPr>
        <w:t>a</w:t>
      </w:r>
      <w:r w:rsidR="006401C0" w:rsidRPr="00D03388">
        <w:rPr>
          <w:rFonts w:ascii="Times New Roman" w:eastAsia="Times New Roman" w:hAnsi="Times New Roman"/>
          <w:i/>
          <w:sz w:val="24"/>
          <w:szCs w:val="24"/>
          <w:lang w:val="ro-MD"/>
        </w:rPr>
        <w:t xml:space="preserve"> incrementală la punctele de interconectare dintre sistemele de transport al gazelor naturale ale Republicii Moldova și Ucrainei </w:t>
      </w:r>
      <w:r w:rsidR="006401C0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pentru a obține o aprobare </w:t>
      </w:r>
      <w:proofErr w:type="spellStart"/>
      <w:r w:rsidR="006401C0" w:rsidRPr="00D03388">
        <w:rPr>
          <w:rFonts w:ascii="Times New Roman" w:eastAsia="Times New Roman" w:hAnsi="Times New Roman"/>
          <w:sz w:val="24"/>
          <w:szCs w:val="24"/>
          <w:lang w:val="ro-MD"/>
        </w:rPr>
        <w:t>coodonată</w:t>
      </w:r>
      <w:proofErr w:type="spellEnd"/>
      <w:r w:rsidR="006401C0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din partea Agenției Naționale pentru Reglementare în Energetică (ANRE) și Comisiei Naționale de Reglementar</w:t>
      </w:r>
      <w:r w:rsidR="00B118A9" w:rsidRPr="00D03388">
        <w:rPr>
          <w:rFonts w:ascii="Times New Roman" w:eastAsia="Times New Roman" w:hAnsi="Times New Roman"/>
          <w:sz w:val="24"/>
          <w:szCs w:val="24"/>
          <w:lang w:val="ro-MD"/>
        </w:rPr>
        <w:t>e a Energiei și Utilităților din Ucraina (NEURC).</w:t>
      </w:r>
    </w:p>
    <w:p w14:paraId="2B5D81DC" w14:textId="54BB64F5" w:rsidR="00B118A9" w:rsidRDefault="00B118A9" w:rsidP="00520539">
      <w:pPr>
        <w:spacing w:after="0" w:line="240" w:lineRule="auto"/>
        <w:ind w:left="7" w:right="-1" w:firstLine="56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D03388">
        <w:rPr>
          <w:rFonts w:ascii="Times New Roman" w:eastAsia="Times New Roman" w:hAnsi="Times New Roman"/>
          <w:sz w:val="24"/>
          <w:szCs w:val="24"/>
        </w:rPr>
        <w:t xml:space="preserve">Conform pct. 281 din </w:t>
      </w:r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Codul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  <w:lang w:val="ro-MD"/>
        </w:rPr>
        <w:t>reţelelor</w:t>
      </w:r>
      <w:proofErr w:type="spellEnd"/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, în urma consultării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  <w:lang w:val="ro-MD"/>
        </w:rPr>
        <w:t>şi</w:t>
      </w:r>
      <w:proofErr w:type="spellEnd"/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finalizării etapei de proiectare pentru un proiect de capacitate incrementală, OST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  <w:lang w:val="ro-MD"/>
        </w:rPr>
        <w:t>implicaţi</w:t>
      </w:r>
      <w:proofErr w:type="spellEnd"/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transmit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  <w:lang w:val="ro-MD"/>
        </w:rPr>
        <w:t>autorităţilor</w:t>
      </w:r>
      <w:proofErr w:type="spellEnd"/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  <w:lang w:val="ro-MD"/>
        </w:rPr>
        <w:t>naţionale</w:t>
      </w:r>
      <w:proofErr w:type="spellEnd"/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de reglementare propunerea proiectul</w:t>
      </w:r>
      <w:r w:rsidR="00193B13">
        <w:rPr>
          <w:rFonts w:ascii="Times New Roman" w:eastAsia="Times New Roman" w:hAnsi="Times New Roman"/>
          <w:sz w:val="24"/>
          <w:szCs w:val="24"/>
          <w:lang w:val="ro-MD"/>
        </w:rPr>
        <w:t>ui</w:t>
      </w:r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="00193B13">
        <w:rPr>
          <w:rFonts w:ascii="Times New Roman" w:eastAsia="Times New Roman" w:hAnsi="Times New Roman"/>
          <w:sz w:val="24"/>
          <w:szCs w:val="24"/>
          <w:lang w:val="ro-MD"/>
        </w:rPr>
        <w:t>pentru</w:t>
      </w:r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capacitate incrementală, în vederea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  <w:lang w:val="ro-MD"/>
        </w:rPr>
        <w:t>obţinerii</w:t>
      </w:r>
      <w:proofErr w:type="spellEnd"/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unor aprobări coordonate din partea acestora. </w:t>
      </w:r>
    </w:p>
    <w:p w14:paraId="48FC7DD0" w14:textId="0012545F" w:rsidR="00522118" w:rsidRDefault="00522118" w:rsidP="00520539">
      <w:pPr>
        <w:spacing w:after="0" w:line="240" w:lineRule="auto"/>
        <w:ind w:left="7" w:right="-1" w:firstLine="560"/>
        <w:jc w:val="both"/>
        <w:rPr>
          <w:rFonts w:ascii="Times New Roman" w:eastAsia="Times New Roman" w:hAnsi="Times New Roman"/>
          <w:sz w:val="24"/>
          <w:szCs w:val="24"/>
        </w:rPr>
      </w:pPr>
      <w:r w:rsidRPr="009032FB">
        <w:rPr>
          <w:rFonts w:ascii="Times New Roman" w:eastAsia="Times New Roman" w:hAnsi="Times New Roman"/>
          <w:b/>
          <w:bCs/>
          <w:sz w:val="24"/>
          <w:szCs w:val="24"/>
        </w:rPr>
        <w:t>C</w:t>
      </w:r>
      <w:r w:rsidR="008073E7" w:rsidRPr="009032FB">
        <w:rPr>
          <w:rFonts w:ascii="Times New Roman" w:eastAsia="Times New Roman" w:hAnsi="Times New Roman"/>
          <w:b/>
          <w:bCs/>
          <w:sz w:val="24"/>
          <w:szCs w:val="24"/>
        </w:rPr>
        <w:t xml:space="preserve">apacitate </w:t>
      </w:r>
      <w:proofErr w:type="spellStart"/>
      <w:r w:rsidR="008073E7" w:rsidRPr="009032FB">
        <w:rPr>
          <w:rFonts w:ascii="Times New Roman" w:eastAsia="Times New Roman" w:hAnsi="Times New Roman"/>
          <w:b/>
          <w:bCs/>
          <w:sz w:val="24"/>
          <w:szCs w:val="24"/>
        </w:rPr>
        <w:t>incrementală</w:t>
      </w:r>
      <w:proofErr w:type="spellEnd"/>
      <w:r w:rsidR="008073E7" w:rsidRPr="009032FB">
        <w:rPr>
          <w:rFonts w:ascii="Times New Roman" w:eastAsia="Times New Roman" w:hAnsi="Times New Roman"/>
          <w:sz w:val="24"/>
          <w:szCs w:val="24"/>
          <w:lang w:val="ro-MD"/>
        </w:rPr>
        <w:t xml:space="preserve"> reprezintă </w:t>
      </w:r>
      <w:r w:rsidRPr="009032FB">
        <w:rPr>
          <w:rFonts w:ascii="Times New Roman" w:eastAsia="Times New Roman" w:hAnsi="Times New Roman"/>
          <w:sz w:val="24"/>
          <w:szCs w:val="24"/>
          <w:lang w:val="ro-MD"/>
        </w:rPr>
        <w:t xml:space="preserve">o posibilă viitoare </w:t>
      </w:r>
      <w:proofErr w:type="spellStart"/>
      <w:r w:rsidR="006027A0" w:rsidRPr="009032FB">
        <w:rPr>
          <w:rFonts w:ascii="Times New Roman" w:eastAsia="Times New Roman" w:hAnsi="Times New Roman"/>
          <w:sz w:val="24"/>
          <w:szCs w:val="24"/>
          <w:lang w:val="ro-MD"/>
        </w:rPr>
        <w:t>creştere</w:t>
      </w:r>
      <w:proofErr w:type="spellEnd"/>
      <w:r w:rsidRPr="009032FB">
        <w:rPr>
          <w:rFonts w:ascii="Times New Roman" w:eastAsia="Times New Roman" w:hAnsi="Times New Roman"/>
          <w:sz w:val="24"/>
          <w:szCs w:val="24"/>
          <w:lang w:val="ro-MD"/>
        </w:rPr>
        <w:t xml:space="preserve"> a </w:t>
      </w:r>
      <w:proofErr w:type="spellStart"/>
      <w:r w:rsidRPr="009032FB">
        <w:rPr>
          <w:rFonts w:ascii="Times New Roman" w:eastAsia="Times New Roman" w:hAnsi="Times New Roman"/>
          <w:sz w:val="24"/>
          <w:szCs w:val="24"/>
          <w:lang w:val="ro-MD"/>
        </w:rPr>
        <w:t>capacităţii</w:t>
      </w:r>
      <w:proofErr w:type="spellEnd"/>
      <w:r w:rsidRPr="009032FB">
        <w:rPr>
          <w:rFonts w:ascii="Times New Roman" w:eastAsia="Times New Roman" w:hAnsi="Times New Roman"/>
          <w:sz w:val="24"/>
          <w:szCs w:val="24"/>
          <w:lang w:val="ro-MD"/>
        </w:rPr>
        <w:t xml:space="preserve"> tehnice a rețelei de transport a gazelor naturale sau crearea unei </w:t>
      </w:r>
      <w:proofErr w:type="spellStart"/>
      <w:r w:rsidRPr="009032FB">
        <w:rPr>
          <w:rFonts w:ascii="Times New Roman" w:eastAsia="Times New Roman" w:hAnsi="Times New Roman"/>
          <w:sz w:val="24"/>
          <w:szCs w:val="24"/>
          <w:lang w:val="ro-MD"/>
        </w:rPr>
        <w:t>capacităţi</w:t>
      </w:r>
      <w:proofErr w:type="spellEnd"/>
      <w:r w:rsidRPr="009032FB">
        <w:rPr>
          <w:rFonts w:ascii="Times New Roman" w:eastAsia="Times New Roman" w:hAnsi="Times New Roman"/>
          <w:sz w:val="24"/>
          <w:szCs w:val="24"/>
          <w:lang w:val="ro-MD"/>
        </w:rPr>
        <w:t xml:space="preserve"> noi</w:t>
      </w:r>
      <w:r w:rsidR="006027A0" w:rsidRPr="009032FB">
        <w:rPr>
          <w:rFonts w:ascii="Times New Roman" w:eastAsia="Times New Roman" w:hAnsi="Times New Roman"/>
          <w:sz w:val="24"/>
          <w:szCs w:val="24"/>
          <w:lang w:val="ro-MD"/>
        </w:rPr>
        <w:t xml:space="preserve"> prin intermediul unor proceduri bazate pe </w:t>
      </w:r>
      <w:proofErr w:type="spellStart"/>
      <w:r w:rsidR="006027A0" w:rsidRPr="009032FB">
        <w:rPr>
          <w:rFonts w:ascii="Times New Roman" w:eastAsia="Times New Roman" w:hAnsi="Times New Roman"/>
          <w:sz w:val="24"/>
          <w:szCs w:val="24"/>
          <w:lang w:val="ro-MD"/>
        </w:rPr>
        <w:t>piaţă</w:t>
      </w:r>
      <w:proofErr w:type="spellEnd"/>
      <w:r w:rsidR="006027A0" w:rsidRPr="009032FB">
        <w:rPr>
          <w:rFonts w:ascii="Times New Roman" w:eastAsia="Times New Roman" w:hAnsi="Times New Roman"/>
          <w:sz w:val="24"/>
          <w:szCs w:val="24"/>
          <w:lang w:val="ro-MD"/>
        </w:rPr>
        <w:t>,</w:t>
      </w:r>
      <w:r w:rsidRPr="009032FB">
        <w:rPr>
          <w:rFonts w:ascii="Times New Roman" w:eastAsia="Times New Roman" w:hAnsi="Times New Roman"/>
          <w:sz w:val="24"/>
          <w:szCs w:val="24"/>
          <w:lang w:val="ro-MD"/>
        </w:rPr>
        <w:t xml:space="preserve"> oferită de OST urmare a finanțării</w:t>
      </w:r>
      <w:r w:rsidR="006027A0" w:rsidRPr="009032FB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proofErr w:type="spellStart"/>
      <w:r w:rsidR="006027A0" w:rsidRPr="009032FB">
        <w:rPr>
          <w:rFonts w:ascii="Times New Roman" w:eastAsia="Times New Roman" w:hAnsi="Times New Roman"/>
          <w:sz w:val="24"/>
          <w:szCs w:val="24"/>
          <w:lang w:val="ro-MD"/>
        </w:rPr>
        <w:t>investiţi</w:t>
      </w:r>
      <w:r w:rsidRPr="009032FB">
        <w:rPr>
          <w:rFonts w:ascii="Times New Roman" w:eastAsia="Times New Roman" w:hAnsi="Times New Roman"/>
          <w:sz w:val="24"/>
          <w:szCs w:val="24"/>
          <w:lang w:val="ro-MD"/>
        </w:rPr>
        <w:t>ilor</w:t>
      </w:r>
      <w:proofErr w:type="spellEnd"/>
      <w:r w:rsidR="006027A0" w:rsidRPr="009032FB">
        <w:rPr>
          <w:rFonts w:ascii="Times New Roman" w:eastAsia="Times New Roman" w:hAnsi="Times New Roman"/>
          <w:sz w:val="24"/>
          <w:szCs w:val="24"/>
          <w:lang w:val="ro-MD"/>
        </w:rPr>
        <w:t xml:space="preserve"> în infrastructura fizică </w:t>
      </w:r>
      <w:r w:rsidR="006027A0" w:rsidRPr="009032FB">
        <w:rPr>
          <w:rFonts w:ascii="Times New Roman" w:eastAsia="Times New Roman" w:hAnsi="Times New Roman"/>
          <w:sz w:val="24"/>
          <w:szCs w:val="24"/>
          <w:u w:val="single"/>
          <w:lang w:val="ro-MD"/>
        </w:rPr>
        <w:t>din contul viitorilor utilizatorilor de sistem</w:t>
      </w:r>
      <w:r w:rsidR="009032FB">
        <w:rPr>
          <w:rFonts w:ascii="Times New Roman" w:eastAsia="Times New Roman" w:hAnsi="Times New Roman"/>
          <w:sz w:val="24"/>
          <w:szCs w:val="24"/>
          <w:lang w:val="ro-MD"/>
        </w:rPr>
        <w:t xml:space="preserve">.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Capacitatea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incrementală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poate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fi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oferită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alocată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perioadă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de maximum 15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ani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gazieri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de la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începerea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utilizării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operaţionale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investițiilor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) </w:t>
      </w:r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sub rezerva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  <w:lang w:val="ro-MD"/>
        </w:rPr>
        <w:t>obţinerii</w:t>
      </w:r>
      <w:proofErr w:type="spellEnd"/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de rezultate pozitive la </w:t>
      </w:r>
      <w:r w:rsidRPr="00D03388">
        <w:rPr>
          <w:rFonts w:ascii="Times New Roman" w:eastAsia="Times New Roman" w:hAnsi="Times New Roman"/>
          <w:b/>
          <w:sz w:val="24"/>
          <w:szCs w:val="24"/>
          <w:lang w:val="ro-MD"/>
        </w:rPr>
        <w:t>testul economic</w:t>
      </w:r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realizat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de OST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condițiile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Codului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rețelelor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propunerii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comune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proiect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A55E4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capacitate</w:t>
      </w:r>
      <w:r w:rsidR="00EA55E4">
        <w:rPr>
          <w:rFonts w:ascii="Times New Roman" w:eastAsia="Times New Roman" w:hAnsi="Times New Roman"/>
          <w:sz w:val="24"/>
          <w:szCs w:val="24"/>
        </w:rPr>
        <w:t>a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incrementală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aprobat</w:t>
      </w:r>
      <w:r w:rsidR="009032FB">
        <w:rPr>
          <w:rFonts w:ascii="Times New Roman" w:eastAsia="Times New Roman" w:hAnsi="Times New Roman"/>
          <w:sz w:val="24"/>
          <w:szCs w:val="24"/>
        </w:rPr>
        <w:t>ă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deciziile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coordonate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autorități</w:t>
      </w:r>
      <w:r w:rsidR="00193B13">
        <w:rPr>
          <w:rFonts w:ascii="Times New Roman" w:eastAsia="Times New Roman" w:hAnsi="Times New Roman"/>
          <w:sz w:val="24"/>
          <w:szCs w:val="24"/>
        </w:rPr>
        <w:t>lor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naționale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reglementare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statele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vizate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>.</w:t>
      </w:r>
    </w:p>
    <w:p w14:paraId="09DAEA0D" w14:textId="52870F85" w:rsidR="00522118" w:rsidRPr="00D03388" w:rsidRDefault="00522118" w:rsidP="005205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Pro</w:t>
      </w:r>
      <w:r w:rsidR="00193B13">
        <w:rPr>
          <w:rFonts w:ascii="Times New Roman" w:eastAsia="Times New Roman" w:hAnsi="Times New Roman"/>
          <w:sz w:val="24"/>
          <w:szCs w:val="24"/>
        </w:rPr>
        <w:t>iectul</w:t>
      </w:r>
      <w:proofErr w:type="spellEnd"/>
      <w:r w:rsidR="00193B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93B13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capacitate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incrementală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implică</w:t>
      </w:r>
      <w:proofErr w:type="spellEnd"/>
      <w:r w:rsidR="00193B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93B13">
        <w:rPr>
          <w:rFonts w:ascii="Times New Roman" w:eastAsia="Times New Roman" w:hAnsi="Times New Roman"/>
          <w:sz w:val="24"/>
          <w:szCs w:val="24"/>
        </w:rPr>
        <w:t>procesul</w:t>
      </w:r>
      <w:proofErr w:type="spellEnd"/>
      <w:r w:rsidR="00193B13">
        <w:rPr>
          <w:rFonts w:ascii="Times New Roman" w:eastAsia="Times New Roman" w:hAnsi="Times New Roman"/>
          <w:sz w:val="24"/>
          <w:szCs w:val="24"/>
        </w:rPr>
        <w:t xml:space="preserve"> de</w:t>
      </w:r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032FB">
        <w:rPr>
          <w:rFonts w:ascii="Times New Roman" w:eastAsia="Times New Roman" w:hAnsi="Times New Roman"/>
          <w:b/>
          <w:sz w:val="24"/>
          <w:szCs w:val="24"/>
        </w:rPr>
        <w:t>evaluare</w:t>
      </w:r>
      <w:proofErr w:type="spellEnd"/>
      <w:r w:rsidRPr="009032FB">
        <w:rPr>
          <w:rFonts w:ascii="Times New Roman" w:eastAsia="Times New Roman" w:hAnsi="Times New Roman"/>
          <w:b/>
          <w:sz w:val="24"/>
          <w:szCs w:val="24"/>
        </w:rPr>
        <w:t xml:space="preserve"> a </w:t>
      </w:r>
      <w:proofErr w:type="spellStart"/>
      <w:r w:rsidRPr="009032FB">
        <w:rPr>
          <w:rFonts w:ascii="Times New Roman" w:eastAsia="Times New Roman" w:hAnsi="Times New Roman"/>
          <w:b/>
          <w:sz w:val="24"/>
          <w:szCs w:val="24"/>
        </w:rPr>
        <w:t>cererii</w:t>
      </w:r>
      <w:proofErr w:type="spellEnd"/>
      <w:r w:rsidRPr="009032FB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 w:rsidRPr="009032FB">
        <w:rPr>
          <w:rFonts w:ascii="Times New Roman" w:eastAsia="Times New Roman" w:hAnsi="Times New Roman"/>
          <w:b/>
          <w:sz w:val="24"/>
          <w:szCs w:val="24"/>
        </w:rPr>
        <w:t>pe</w:t>
      </w:r>
      <w:proofErr w:type="spellEnd"/>
      <w:r w:rsidRPr="009032F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9032FB">
        <w:rPr>
          <w:rFonts w:ascii="Times New Roman" w:eastAsia="Times New Roman" w:hAnsi="Times New Roman"/>
          <w:b/>
          <w:sz w:val="24"/>
          <w:szCs w:val="24"/>
        </w:rPr>
        <w:t>piaţă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capacitate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incrementală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, care include o </w:t>
      </w:r>
      <w:proofErr w:type="spellStart"/>
      <w:r w:rsidRPr="009032FB">
        <w:rPr>
          <w:rFonts w:ascii="Times New Roman" w:eastAsia="Times New Roman" w:hAnsi="Times New Roman"/>
          <w:i/>
          <w:sz w:val="24"/>
          <w:szCs w:val="24"/>
        </w:rPr>
        <w:t>etapă</w:t>
      </w:r>
      <w:proofErr w:type="spellEnd"/>
      <w:r w:rsidRPr="009032F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32FB">
        <w:rPr>
          <w:rFonts w:ascii="Times New Roman" w:eastAsia="Times New Roman" w:hAnsi="Times New Roman"/>
          <w:i/>
          <w:sz w:val="24"/>
          <w:szCs w:val="24"/>
        </w:rPr>
        <w:t>neobligatorie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utilizatorii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sistem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îşi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exprimă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îşi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cuantifică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cererea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capacitatea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incrementală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 w:rsidRPr="009032FB">
        <w:rPr>
          <w:rFonts w:ascii="Times New Roman" w:eastAsia="Times New Roman" w:hAnsi="Times New Roman"/>
          <w:i/>
          <w:sz w:val="24"/>
          <w:szCs w:val="24"/>
        </w:rPr>
        <w:t>etapă</w:t>
      </w:r>
      <w:proofErr w:type="spellEnd"/>
      <w:r w:rsidRPr="009032F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32FB">
        <w:rPr>
          <w:rFonts w:ascii="Times New Roman" w:eastAsia="Times New Roman" w:hAnsi="Times New Roman"/>
          <w:i/>
          <w:sz w:val="24"/>
          <w:szCs w:val="24"/>
        </w:rPr>
        <w:t>obligatorie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unul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mai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mulţi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OST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solicită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utilizatorilor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sistem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angajamente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obligatorii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contractarea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</w:rPr>
        <w:t>capacităţii</w:t>
      </w:r>
      <w:proofErr w:type="spellEnd"/>
      <w:r w:rsidRPr="00D03388">
        <w:rPr>
          <w:rFonts w:ascii="Times New Roman" w:eastAsia="Times New Roman" w:hAnsi="Times New Roman"/>
          <w:sz w:val="24"/>
          <w:szCs w:val="24"/>
        </w:rPr>
        <w:t xml:space="preserve">.  </w:t>
      </w:r>
    </w:p>
    <w:p w14:paraId="725B172E" w14:textId="0952E1FB" w:rsidR="001A4113" w:rsidRPr="00D03388" w:rsidRDefault="00522118" w:rsidP="00520539">
      <w:pPr>
        <w:spacing w:after="0" w:line="240" w:lineRule="auto"/>
        <w:ind w:left="7" w:right="-1" w:firstLine="56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D03388">
        <w:rPr>
          <w:rFonts w:ascii="Times New Roman" w:eastAsia="Times New Roman" w:hAnsi="Times New Roman"/>
          <w:sz w:val="24"/>
          <w:szCs w:val="24"/>
          <w:lang w:val="ro-MD"/>
        </w:rPr>
        <w:t>VMTG și GTSOU</w:t>
      </w:r>
      <w:r w:rsidR="000421CA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au elaborat Rapoarte comune de evaluare a cererii de pe </w:t>
      </w:r>
      <w:proofErr w:type="spellStart"/>
      <w:r w:rsidR="000421CA" w:rsidRPr="00D03388">
        <w:rPr>
          <w:rFonts w:ascii="Times New Roman" w:eastAsia="Times New Roman" w:hAnsi="Times New Roman"/>
          <w:sz w:val="24"/>
          <w:szCs w:val="24"/>
          <w:lang w:val="ro-MD"/>
        </w:rPr>
        <w:t>piaţă</w:t>
      </w:r>
      <w:proofErr w:type="spellEnd"/>
      <w:r w:rsidR="00193B13">
        <w:rPr>
          <w:rFonts w:ascii="Times New Roman" w:eastAsia="Times New Roman" w:hAnsi="Times New Roman"/>
          <w:sz w:val="24"/>
          <w:szCs w:val="24"/>
          <w:lang w:val="ro-MD"/>
        </w:rPr>
        <w:t xml:space="preserve"> (RECP),</w:t>
      </w:r>
      <w:r w:rsidR="000421CA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acoperind toate punctele de interconectare aflate din cadrul sistem</w:t>
      </w:r>
      <w:r w:rsidR="009032FB">
        <w:rPr>
          <w:rFonts w:ascii="Times New Roman" w:eastAsia="Times New Roman" w:hAnsi="Times New Roman"/>
          <w:sz w:val="24"/>
          <w:szCs w:val="24"/>
          <w:lang w:val="ro-MD"/>
        </w:rPr>
        <w:t xml:space="preserve">elor </w:t>
      </w:r>
      <w:r w:rsidR="000421CA" w:rsidRPr="00D03388">
        <w:rPr>
          <w:rFonts w:ascii="Times New Roman" w:eastAsia="Times New Roman" w:hAnsi="Times New Roman"/>
          <w:sz w:val="24"/>
          <w:szCs w:val="24"/>
          <w:lang w:val="ro-MD"/>
        </w:rPr>
        <w:t>de intrare/</w:t>
      </w:r>
      <w:proofErr w:type="spellStart"/>
      <w:r w:rsidR="000421CA" w:rsidRPr="00D03388">
        <w:rPr>
          <w:rFonts w:ascii="Times New Roman" w:eastAsia="Times New Roman" w:hAnsi="Times New Roman"/>
          <w:sz w:val="24"/>
          <w:szCs w:val="24"/>
          <w:lang w:val="ro-MD"/>
        </w:rPr>
        <w:t>ieşire</w:t>
      </w:r>
      <w:proofErr w:type="spellEnd"/>
      <w:r w:rsidR="00193B13">
        <w:rPr>
          <w:rFonts w:ascii="Times New Roman" w:eastAsia="Times New Roman" w:hAnsi="Times New Roman"/>
          <w:sz w:val="24"/>
          <w:szCs w:val="24"/>
          <w:lang w:val="ro-MD"/>
        </w:rPr>
        <w:t>,</w:t>
      </w:r>
      <w:r w:rsidR="000421CA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în care s-a </w:t>
      </w:r>
      <w:proofErr w:type="spellStart"/>
      <w:r w:rsidR="000421CA" w:rsidRPr="00D03388">
        <w:rPr>
          <w:rFonts w:ascii="Times New Roman" w:eastAsia="Times New Roman" w:hAnsi="Times New Roman"/>
          <w:sz w:val="24"/>
          <w:szCs w:val="24"/>
          <w:lang w:val="ro-MD"/>
        </w:rPr>
        <w:t>determint</w:t>
      </w:r>
      <w:proofErr w:type="spellEnd"/>
      <w:r w:rsidR="000421CA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cererea prognozată </w:t>
      </w:r>
      <w:r w:rsidR="00193B13">
        <w:rPr>
          <w:rFonts w:ascii="Times New Roman" w:eastAsia="Times New Roman" w:hAnsi="Times New Roman"/>
          <w:sz w:val="24"/>
          <w:szCs w:val="24"/>
          <w:lang w:val="ro-MD"/>
        </w:rPr>
        <w:t>pentru</w:t>
      </w:r>
      <w:r w:rsidR="000421CA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capacitate incrementală la nivelul tuturor utilizatorilor de sistem</w:t>
      </w:r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. Rezultatele RECP dintre sistemele de transport al gazelor naturale ale Republicii Moldova și Ucraina </w:t>
      </w:r>
      <w:r w:rsidR="003C03B4" w:rsidRPr="00D03388">
        <w:rPr>
          <w:rFonts w:ascii="Times New Roman" w:eastAsia="Times New Roman" w:hAnsi="Times New Roman"/>
          <w:sz w:val="24"/>
          <w:szCs w:val="24"/>
          <w:lang w:val="ro-MD"/>
        </w:rPr>
        <w:t>care au</w:t>
      </w:r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evalua</w:t>
      </w:r>
      <w:r w:rsidR="003C03B4" w:rsidRPr="00D03388">
        <w:rPr>
          <w:rFonts w:ascii="Times New Roman" w:eastAsia="Times New Roman" w:hAnsi="Times New Roman"/>
          <w:sz w:val="24"/>
          <w:szCs w:val="24"/>
          <w:lang w:val="ro-MD"/>
        </w:rPr>
        <w:t>t</w:t>
      </w:r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="009032FB">
        <w:rPr>
          <w:rFonts w:ascii="Times New Roman" w:eastAsia="Times New Roman" w:hAnsi="Times New Roman"/>
          <w:sz w:val="24"/>
          <w:szCs w:val="24"/>
          <w:lang w:val="ro-MD"/>
        </w:rPr>
        <w:t xml:space="preserve">cererea </w:t>
      </w:r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în perioada </w:t>
      </w:r>
      <w:r w:rsidRPr="00D03388">
        <w:rPr>
          <w:rFonts w:ascii="Times New Roman" w:eastAsia="Times New Roman" w:hAnsi="Times New Roman"/>
          <w:i/>
          <w:sz w:val="24"/>
          <w:szCs w:val="24"/>
          <w:lang w:val="ro-MD"/>
        </w:rPr>
        <w:t>3.07.2023 – 28.08.2023</w:t>
      </w:r>
      <w:r w:rsidR="000421CA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au relevat necesitatea </w:t>
      </w:r>
      <w:proofErr w:type="spellStart"/>
      <w:r w:rsidR="000421CA" w:rsidRPr="00D03388">
        <w:rPr>
          <w:rFonts w:ascii="Times New Roman" w:eastAsia="Times New Roman" w:hAnsi="Times New Roman"/>
          <w:sz w:val="24"/>
          <w:szCs w:val="24"/>
          <w:lang w:val="ro-MD"/>
        </w:rPr>
        <w:t>iniţierii</w:t>
      </w:r>
      <w:proofErr w:type="spellEnd"/>
      <w:r w:rsidR="000421CA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unui proiect </w:t>
      </w:r>
      <w:r w:rsidR="00193B13">
        <w:rPr>
          <w:rFonts w:ascii="Times New Roman" w:eastAsia="Times New Roman" w:hAnsi="Times New Roman"/>
          <w:sz w:val="24"/>
          <w:szCs w:val="24"/>
          <w:lang w:val="ro-MD"/>
        </w:rPr>
        <w:t>pentru</w:t>
      </w:r>
      <w:r w:rsidR="000421CA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capacitate incrementală.</w:t>
      </w:r>
      <w:r w:rsidR="009032FB">
        <w:rPr>
          <w:rStyle w:val="FootnoteReference"/>
          <w:rFonts w:ascii="Times New Roman" w:eastAsia="Times New Roman" w:hAnsi="Times New Roman"/>
          <w:sz w:val="24"/>
          <w:szCs w:val="24"/>
          <w:lang w:val="ro-MD"/>
        </w:rPr>
        <w:footnoteReference w:id="1"/>
      </w:r>
      <w:r w:rsidR="001A4113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</w:p>
    <w:p w14:paraId="0DE206B5" w14:textId="53D37135" w:rsidR="00C711C7" w:rsidRPr="00D03388" w:rsidRDefault="001A4113" w:rsidP="00520539">
      <w:pPr>
        <w:spacing w:after="0" w:line="240" w:lineRule="auto"/>
        <w:ind w:left="7" w:right="-1" w:firstLine="56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Urmare a studiilor tehnice realizate de VMTG și GTSOU a fost elaborat un </w:t>
      </w:r>
      <w:r w:rsidR="003440CF" w:rsidRPr="009032FB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P</w:t>
      </w:r>
      <w:r w:rsidRPr="009032FB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roiect comun </w:t>
      </w:r>
      <w:r w:rsidR="00193B13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pentru</w:t>
      </w:r>
      <w:r w:rsidRPr="009032FB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 capacitate incrementală </w:t>
      </w:r>
      <w:r w:rsidR="00193B13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la</w:t>
      </w:r>
      <w:r w:rsidRPr="009032FB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 PI Căușeni (direcția UA-MD) și PI </w:t>
      </w:r>
      <w:proofErr w:type="spellStart"/>
      <w:r w:rsidRPr="009032FB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Grebeniki</w:t>
      </w:r>
      <w:proofErr w:type="spellEnd"/>
      <w:r w:rsidRPr="009032FB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 (direcția MD-UA)</w:t>
      </w:r>
      <w:r w:rsidRPr="009032FB">
        <w:rPr>
          <w:rFonts w:ascii="Times New Roman" w:eastAsia="Times New Roman" w:hAnsi="Times New Roman"/>
          <w:b/>
          <w:i/>
          <w:sz w:val="24"/>
          <w:szCs w:val="24"/>
          <w:u w:val="single"/>
          <w:lang w:val="ro-MD"/>
        </w:rPr>
        <w:t xml:space="preserve"> </w:t>
      </w:r>
      <w:r w:rsidRPr="009032FB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dintre Republica Moldova și Ucraina. </w:t>
      </w:r>
    </w:p>
    <w:p w14:paraId="2B95435D" w14:textId="25DC1948" w:rsidR="001A4113" w:rsidRPr="00D03388" w:rsidRDefault="00C711C7" w:rsidP="00520539">
      <w:pPr>
        <w:spacing w:after="0" w:line="240" w:lineRule="auto"/>
        <w:ind w:left="7" w:right="-1" w:firstLine="56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D03388">
        <w:rPr>
          <w:rFonts w:ascii="Times New Roman" w:eastAsia="Times New Roman" w:hAnsi="Times New Roman"/>
          <w:sz w:val="24"/>
          <w:szCs w:val="24"/>
          <w:lang w:val="ro-MD"/>
        </w:rPr>
        <w:t>Proiectul</w:t>
      </w:r>
      <w:r w:rsidR="009032FB">
        <w:rPr>
          <w:rFonts w:ascii="Times New Roman" w:eastAsia="Times New Roman" w:hAnsi="Times New Roman"/>
          <w:sz w:val="24"/>
          <w:szCs w:val="24"/>
          <w:lang w:val="ro-MD"/>
        </w:rPr>
        <w:t xml:space="preserve"> comun</w:t>
      </w:r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="001A4113" w:rsidRPr="00D03388">
        <w:rPr>
          <w:rFonts w:ascii="Times New Roman" w:eastAsia="Times New Roman" w:hAnsi="Times New Roman"/>
          <w:sz w:val="24"/>
          <w:szCs w:val="24"/>
          <w:lang w:val="ro-MD"/>
        </w:rPr>
        <w:t>atestă lipsa</w:t>
      </w:r>
      <w:r w:rsidR="00552186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în prezent </w:t>
      </w:r>
      <w:r w:rsidR="003C03B4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a </w:t>
      </w:r>
      <w:r w:rsidR="001A4113" w:rsidRPr="00D03388">
        <w:rPr>
          <w:rFonts w:ascii="Times New Roman" w:eastAsia="Times New Roman" w:hAnsi="Times New Roman"/>
          <w:sz w:val="24"/>
          <w:szCs w:val="24"/>
          <w:lang w:val="ro-MD"/>
        </w:rPr>
        <w:t>capacit</w:t>
      </w:r>
      <w:r w:rsidR="003C03B4" w:rsidRPr="00D03388">
        <w:rPr>
          <w:rFonts w:ascii="Times New Roman" w:eastAsia="Times New Roman" w:hAnsi="Times New Roman"/>
          <w:sz w:val="24"/>
          <w:szCs w:val="24"/>
          <w:lang w:val="ro-MD"/>
        </w:rPr>
        <w:t>ății</w:t>
      </w:r>
      <w:r w:rsidR="00552186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ferm</w:t>
      </w:r>
      <w:r w:rsidR="003C03B4" w:rsidRPr="00D03388">
        <w:rPr>
          <w:rFonts w:ascii="Times New Roman" w:eastAsia="Times New Roman" w:hAnsi="Times New Roman"/>
          <w:sz w:val="24"/>
          <w:szCs w:val="24"/>
          <w:lang w:val="ro-MD"/>
        </w:rPr>
        <w:t>e</w:t>
      </w:r>
      <w:r w:rsidR="001A4113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între sistemul de intrare-ieșire al Ucrainei și Republica Moldova la PI în direcția solicitată. Atât GTSOU, cât și VMTG oferă capacitate întreruptibilă la PI </w:t>
      </w:r>
      <w:r w:rsidR="00EA55E4">
        <w:rPr>
          <w:rFonts w:ascii="Times New Roman" w:eastAsia="Times New Roman" w:hAnsi="Times New Roman"/>
          <w:sz w:val="24"/>
          <w:szCs w:val="24"/>
          <w:lang w:val="ro-MD"/>
        </w:rPr>
        <w:t xml:space="preserve">Căușeni </w:t>
      </w:r>
      <w:r w:rsidR="001A4113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(direcția UA-MD) și </w:t>
      </w:r>
      <w:r w:rsidR="00193B13">
        <w:rPr>
          <w:rFonts w:ascii="Times New Roman" w:eastAsia="Times New Roman" w:hAnsi="Times New Roman"/>
          <w:sz w:val="24"/>
          <w:szCs w:val="24"/>
          <w:lang w:val="ro-MD"/>
        </w:rPr>
        <w:t xml:space="preserve">PI </w:t>
      </w:r>
      <w:proofErr w:type="spellStart"/>
      <w:r w:rsidR="001A4113" w:rsidRPr="00D03388">
        <w:rPr>
          <w:rFonts w:ascii="Times New Roman" w:eastAsia="Times New Roman" w:hAnsi="Times New Roman"/>
          <w:sz w:val="24"/>
          <w:szCs w:val="24"/>
          <w:lang w:val="ro-MD"/>
        </w:rPr>
        <w:t>Greben</w:t>
      </w:r>
      <w:r w:rsidR="00EA55E4">
        <w:rPr>
          <w:rFonts w:ascii="Times New Roman" w:eastAsia="Times New Roman" w:hAnsi="Times New Roman"/>
          <w:sz w:val="24"/>
          <w:szCs w:val="24"/>
          <w:lang w:val="ro-MD"/>
        </w:rPr>
        <w:t>iki</w:t>
      </w:r>
      <w:proofErr w:type="spellEnd"/>
      <w:r w:rsidR="001A4113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(direcția MD-UA). Consultarea publică a propunerii de proiect </w:t>
      </w:r>
      <w:r w:rsidR="00EA55E4">
        <w:rPr>
          <w:rFonts w:ascii="Times New Roman" w:eastAsia="Times New Roman" w:hAnsi="Times New Roman"/>
          <w:sz w:val="24"/>
          <w:szCs w:val="24"/>
          <w:lang w:val="ro-MD"/>
        </w:rPr>
        <w:t xml:space="preserve">pentru </w:t>
      </w:r>
      <w:r w:rsidR="001A4113" w:rsidRPr="00D03388">
        <w:rPr>
          <w:rFonts w:ascii="Times New Roman" w:eastAsia="Times New Roman" w:hAnsi="Times New Roman"/>
          <w:sz w:val="24"/>
          <w:szCs w:val="24"/>
          <w:lang w:val="ro-MD"/>
        </w:rPr>
        <w:t>capac</w:t>
      </w:r>
      <w:r w:rsidR="003440CF" w:rsidRPr="00D03388">
        <w:rPr>
          <w:rFonts w:ascii="Times New Roman" w:eastAsia="Times New Roman" w:hAnsi="Times New Roman"/>
          <w:sz w:val="24"/>
          <w:szCs w:val="24"/>
          <w:lang w:val="ro-MD"/>
        </w:rPr>
        <w:t>itate</w:t>
      </w:r>
      <w:r w:rsidR="00EA55E4">
        <w:rPr>
          <w:rFonts w:ascii="Times New Roman" w:eastAsia="Times New Roman" w:hAnsi="Times New Roman"/>
          <w:sz w:val="24"/>
          <w:szCs w:val="24"/>
          <w:lang w:val="ro-MD"/>
        </w:rPr>
        <w:t>a</w:t>
      </w:r>
      <w:r w:rsidR="003440CF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incrementală nominalizat </w:t>
      </w:r>
      <w:r w:rsidR="001A4113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a avut loc în perioada </w:t>
      </w:r>
      <w:r w:rsidR="001A4113" w:rsidRPr="00D03388">
        <w:rPr>
          <w:rFonts w:ascii="Times New Roman" w:eastAsia="Times New Roman" w:hAnsi="Times New Roman"/>
          <w:i/>
          <w:sz w:val="24"/>
          <w:szCs w:val="24"/>
          <w:lang w:val="ro-MD"/>
        </w:rPr>
        <w:t>1.02.2024 - 29.02.2024</w:t>
      </w:r>
      <w:r w:rsidR="001A4113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. GTSOU și VMTG nu au primit comentarii de la utilizatorii de sistem la propunerea de proiect. </w:t>
      </w:r>
    </w:p>
    <w:p w14:paraId="4D354A47" w14:textId="30EF13CC" w:rsidR="003C03B4" w:rsidRDefault="009032FB" w:rsidP="00520539">
      <w:pPr>
        <w:spacing w:after="0" w:line="240" w:lineRule="auto"/>
        <w:ind w:left="7" w:right="-1" w:firstLine="56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>
        <w:rPr>
          <w:rFonts w:ascii="Times New Roman" w:eastAsia="Times New Roman" w:hAnsi="Times New Roman"/>
          <w:sz w:val="24"/>
          <w:szCs w:val="24"/>
          <w:lang w:val="ro-MD"/>
        </w:rPr>
        <w:lastRenderedPageBreak/>
        <w:t>La fel s-a stabilit că u</w:t>
      </w:r>
      <w:r w:rsidR="003C03B4" w:rsidRPr="00D03388">
        <w:rPr>
          <w:rFonts w:ascii="Times New Roman" w:eastAsia="Times New Roman" w:hAnsi="Times New Roman"/>
          <w:sz w:val="24"/>
          <w:szCs w:val="24"/>
          <w:lang w:val="ro-MD"/>
        </w:rPr>
        <w:t>na dintre condiții pentru oferirea capacității ferme de către OST este capacitatea fermă stabilită în amonte, prin PI Isaccea</w:t>
      </w:r>
      <w:r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="003C03B4" w:rsidRPr="00D03388">
        <w:rPr>
          <w:rFonts w:ascii="Times New Roman" w:eastAsia="Times New Roman" w:hAnsi="Times New Roman"/>
          <w:sz w:val="24"/>
          <w:szCs w:val="24"/>
          <w:lang w:val="ro-MD"/>
        </w:rPr>
        <w:t>1/</w:t>
      </w:r>
      <w:proofErr w:type="spellStart"/>
      <w:r w:rsidR="003C03B4" w:rsidRPr="00D03388">
        <w:rPr>
          <w:rFonts w:ascii="Times New Roman" w:eastAsia="Times New Roman" w:hAnsi="Times New Roman"/>
          <w:sz w:val="24"/>
          <w:szCs w:val="24"/>
          <w:lang w:val="ro-MD"/>
        </w:rPr>
        <w:t>Orlovka</w:t>
      </w:r>
      <w:proofErr w:type="spellEnd"/>
      <w:r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="003C03B4" w:rsidRPr="00D03388">
        <w:rPr>
          <w:rFonts w:ascii="Times New Roman" w:eastAsia="Times New Roman" w:hAnsi="Times New Roman"/>
          <w:sz w:val="24"/>
          <w:szCs w:val="24"/>
          <w:lang w:val="ro-MD"/>
        </w:rPr>
        <w:t>1 între GTSOU și SNTGN TRANSGAZ SA (operatorul sistemului de transport gaze naturale din România).</w:t>
      </w:r>
      <w:r>
        <w:rPr>
          <w:rStyle w:val="FootnoteReference"/>
          <w:rFonts w:ascii="Times New Roman" w:eastAsia="Times New Roman" w:hAnsi="Times New Roman"/>
          <w:sz w:val="24"/>
          <w:szCs w:val="24"/>
          <w:lang w:val="ro-MD"/>
        </w:rPr>
        <w:footnoteReference w:id="2"/>
      </w:r>
    </w:p>
    <w:p w14:paraId="5ED75019" w14:textId="77777777" w:rsidR="009032FB" w:rsidRDefault="009032FB" w:rsidP="00EA55E4">
      <w:pPr>
        <w:spacing w:after="0" w:line="240" w:lineRule="auto"/>
        <w:ind w:left="7" w:right="-1" w:firstLine="702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14:paraId="6C9FFF67" w14:textId="77777777" w:rsidR="008C29AE" w:rsidRPr="008C29AE" w:rsidRDefault="008C29AE" w:rsidP="008C29AE">
      <w:pPr>
        <w:spacing w:line="240" w:lineRule="auto"/>
        <w:ind w:left="7" w:right="-1" w:firstLine="702"/>
        <w:rPr>
          <w:rFonts w:ascii="Times New Roman" w:eastAsia="Times New Roman" w:hAnsi="Times New Roman"/>
          <w:sz w:val="24"/>
          <w:szCs w:val="24"/>
          <w:lang w:val="ro-MD"/>
        </w:rPr>
      </w:pPr>
      <w:proofErr w:type="spellStart"/>
      <w:r w:rsidRPr="008C29AE">
        <w:rPr>
          <w:rFonts w:ascii="Times New Roman" w:eastAsia="Times New Roman" w:hAnsi="Times New Roman"/>
          <w:sz w:val="24"/>
          <w:szCs w:val="24"/>
          <w:lang w:val="ro-MD"/>
        </w:rPr>
        <w:t>Avînd</w:t>
      </w:r>
      <w:proofErr w:type="spellEnd"/>
      <w:r w:rsidRPr="008C29AE">
        <w:rPr>
          <w:rFonts w:ascii="Times New Roman" w:eastAsia="Times New Roman" w:hAnsi="Times New Roman"/>
          <w:sz w:val="24"/>
          <w:szCs w:val="24"/>
          <w:lang w:val="ro-MD"/>
        </w:rPr>
        <w:t xml:space="preserve"> în vedere disponibilitatea soluției tehnice, OST solicită aprobarea unui nivel comun al ofertei pentru produsele de capacitate incrementală neagregată. Produsele de capacitate anuală urmează a fi comercializate pentru 15 ani </w:t>
      </w:r>
      <w:proofErr w:type="spellStart"/>
      <w:r w:rsidRPr="008C29AE">
        <w:rPr>
          <w:rFonts w:ascii="Times New Roman" w:eastAsia="Times New Roman" w:hAnsi="Times New Roman"/>
          <w:sz w:val="24"/>
          <w:szCs w:val="24"/>
          <w:lang w:val="ro-MD"/>
        </w:rPr>
        <w:t>gazieri</w:t>
      </w:r>
      <w:proofErr w:type="spellEnd"/>
      <w:r w:rsidRPr="008C29AE">
        <w:rPr>
          <w:rFonts w:ascii="Times New Roman" w:eastAsia="Times New Roman" w:hAnsi="Times New Roman"/>
          <w:sz w:val="24"/>
          <w:szCs w:val="24"/>
          <w:lang w:val="ro-MD"/>
        </w:rPr>
        <w:t xml:space="preserve"> de la 1.10.2024 </w:t>
      </w:r>
      <w:proofErr w:type="spellStart"/>
      <w:r w:rsidRPr="008C29AE">
        <w:rPr>
          <w:rFonts w:ascii="Times New Roman" w:eastAsia="Times New Roman" w:hAnsi="Times New Roman"/>
          <w:sz w:val="24"/>
          <w:szCs w:val="24"/>
          <w:lang w:val="ro-MD"/>
        </w:rPr>
        <w:t>pînă</w:t>
      </w:r>
      <w:proofErr w:type="spellEnd"/>
      <w:r w:rsidRPr="008C29AE">
        <w:rPr>
          <w:rFonts w:ascii="Times New Roman" w:eastAsia="Times New Roman" w:hAnsi="Times New Roman"/>
          <w:sz w:val="24"/>
          <w:szCs w:val="24"/>
          <w:lang w:val="ro-MD"/>
        </w:rPr>
        <w:t xml:space="preserve"> la 1.10.2024, la PI Căușeni și PI </w:t>
      </w:r>
      <w:proofErr w:type="spellStart"/>
      <w:r w:rsidRPr="008C29AE">
        <w:rPr>
          <w:rFonts w:ascii="Times New Roman" w:eastAsia="Times New Roman" w:hAnsi="Times New Roman"/>
          <w:sz w:val="24"/>
          <w:szCs w:val="24"/>
          <w:lang w:val="ro-MD"/>
        </w:rPr>
        <w:t>Grebeniki</w:t>
      </w:r>
      <w:proofErr w:type="spellEnd"/>
      <w:r w:rsidRPr="008C29AE">
        <w:rPr>
          <w:rFonts w:ascii="Times New Roman" w:eastAsia="Times New Roman" w:hAnsi="Times New Roman"/>
          <w:sz w:val="24"/>
          <w:szCs w:val="24"/>
          <w:lang w:val="ro-MD"/>
        </w:rPr>
        <w:t xml:space="preserve"> pe platforma RBP, în cadrul licitației anuale de capacitate care se va desfășura la data de 01.07.2024 conform calendarului ENTSO-G. </w:t>
      </w:r>
    </w:p>
    <w:p w14:paraId="0D329F5C" w14:textId="56503B90" w:rsidR="003C03B4" w:rsidRDefault="009032FB" w:rsidP="00EA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032FB">
        <w:rPr>
          <w:rFonts w:ascii="Times New Roman" w:hAnsi="Times New Roman"/>
          <w:b/>
          <w:sz w:val="24"/>
          <w:szCs w:val="24"/>
        </w:rPr>
        <w:t>C</w:t>
      </w:r>
      <w:r w:rsidR="003C03B4" w:rsidRPr="009032FB">
        <w:rPr>
          <w:rFonts w:ascii="Times New Roman" w:hAnsi="Times New Roman"/>
          <w:b/>
          <w:sz w:val="24"/>
          <w:szCs w:val="24"/>
        </w:rPr>
        <w:t>apacitatea</w:t>
      </w:r>
      <w:proofErr w:type="spellEnd"/>
      <w:r w:rsidR="003C03B4" w:rsidRPr="009032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C03B4" w:rsidRPr="009032FB">
        <w:rPr>
          <w:rFonts w:ascii="Times New Roman" w:hAnsi="Times New Roman"/>
          <w:b/>
          <w:sz w:val="24"/>
          <w:szCs w:val="24"/>
        </w:rPr>
        <w:t>maximă</w:t>
      </w:r>
      <w:proofErr w:type="spellEnd"/>
      <w:r w:rsidR="003C03B4" w:rsidRPr="009032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C03B4" w:rsidRPr="009032FB">
        <w:rPr>
          <w:rFonts w:ascii="Times New Roman" w:hAnsi="Times New Roman"/>
          <w:b/>
          <w:sz w:val="24"/>
          <w:szCs w:val="24"/>
        </w:rPr>
        <w:t>fermă</w:t>
      </w:r>
      <w:proofErr w:type="spellEnd"/>
      <w:r w:rsidR="00AC5039">
        <w:rPr>
          <w:rFonts w:ascii="Times New Roman" w:hAnsi="Times New Roman"/>
          <w:b/>
          <w:sz w:val="24"/>
          <w:szCs w:val="24"/>
        </w:rPr>
        <w:t>:</w:t>
      </w:r>
    </w:p>
    <w:p w14:paraId="5F09FA5F" w14:textId="77777777" w:rsidR="00EA55E4" w:rsidRDefault="00EA55E4" w:rsidP="00EA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0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AC5039" w:rsidRPr="006242E4" w14:paraId="577DA03A" w14:textId="0D9A6D20" w:rsidTr="00520539">
        <w:tc>
          <w:tcPr>
            <w:tcW w:w="2444" w:type="dxa"/>
            <w:shd w:val="clear" w:color="auto" w:fill="D0CECE" w:themeFill="background2" w:themeFillShade="E6"/>
            <w:vAlign w:val="center"/>
          </w:tcPr>
          <w:p w14:paraId="5A8F7CF3" w14:textId="3EA10EC2" w:rsidR="00AC5039" w:rsidRDefault="00AC5039" w:rsidP="00520539">
            <w:pPr>
              <w:pStyle w:val="ListParagraph"/>
              <w:spacing w:after="0" w:line="240" w:lineRule="auto"/>
              <w:ind w:left="0" w:firstLine="44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PI</w:t>
            </w:r>
          </w:p>
        </w:tc>
        <w:tc>
          <w:tcPr>
            <w:tcW w:w="2444" w:type="dxa"/>
            <w:shd w:val="clear" w:color="auto" w:fill="D0CECE" w:themeFill="background2" w:themeFillShade="E6"/>
            <w:vAlign w:val="center"/>
          </w:tcPr>
          <w:p w14:paraId="4DB955BC" w14:textId="3344D2F7" w:rsidR="00AC5039" w:rsidRDefault="00AC5039" w:rsidP="00520539">
            <w:pPr>
              <w:pStyle w:val="ListParagraph"/>
              <w:spacing w:after="0" w:line="240" w:lineRule="auto"/>
              <w:ind w:left="0" w:firstLine="44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9032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direcția</w:t>
            </w:r>
            <w:proofErr w:type="spellEnd"/>
          </w:p>
        </w:tc>
        <w:tc>
          <w:tcPr>
            <w:tcW w:w="2444" w:type="dxa"/>
            <w:shd w:val="clear" w:color="auto" w:fill="D0CECE" w:themeFill="background2" w:themeFillShade="E6"/>
            <w:vAlign w:val="center"/>
          </w:tcPr>
          <w:p w14:paraId="5A1AF6DF" w14:textId="6BA77ECB" w:rsidR="00AC5039" w:rsidRPr="006242E4" w:rsidRDefault="00AC5039" w:rsidP="00520539">
            <w:pPr>
              <w:pStyle w:val="ListParagraph"/>
              <w:spacing w:after="0" w:line="240" w:lineRule="auto"/>
              <w:ind w:left="0" w:firstLine="44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03388">
              <w:rPr>
                <w:rFonts w:ascii="Times New Roman" w:hAnsi="Times New Roman"/>
                <w:b/>
                <w:sz w:val="24"/>
                <w:szCs w:val="24"/>
              </w:rPr>
              <w:t>kWh/</w:t>
            </w:r>
            <w:proofErr w:type="spellStart"/>
            <w:r w:rsidRPr="00D03388">
              <w:rPr>
                <w:rFonts w:ascii="Times New Roman" w:hAnsi="Times New Roman"/>
                <w:b/>
                <w:sz w:val="24"/>
                <w:szCs w:val="24"/>
              </w:rPr>
              <w:t>zi</w:t>
            </w:r>
            <w:proofErr w:type="spellEnd"/>
            <w:r w:rsidRPr="00D03388">
              <w:rPr>
                <w:rFonts w:ascii="Times New Roman" w:hAnsi="Times New Roman"/>
                <w:b/>
                <w:sz w:val="24"/>
                <w:szCs w:val="24"/>
              </w:rPr>
              <w:t>/an</w:t>
            </w:r>
            <w:r w:rsidRPr="009032FB">
              <w:rPr>
                <w:b/>
                <w:vertAlign w:val="superscript"/>
              </w:rPr>
              <w:footnoteReference w:id="3"/>
            </w:r>
          </w:p>
        </w:tc>
        <w:tc>
          <w:tcPr>
            <w:tcW w:w="2444" w:type="dxa"/>
            <w:shd w:val="clear" w:color="auto" w:fill="D0CECE" w:themeFill="background2" w:themeFillShade="E6"/>
            <w:vAlign w:val="center"/>
          </w:tcPr>
          <w:p w14:paraId="785925A9" w14:textId="017397DB" w:rsidR="00AC5039" w:rsidRPr="00D03388" w:rsidRDefault="00AC5039" w:rsidP="005205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mcm/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zi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9032F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032F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о</w:t>
            </w:r>
            <w:r w:rsidRPr="009032FB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</w:p>
        </w:tc>
      </w:tr>
      <w:tr w:rsidR="00AC5039" w:rsidRPr="006242E4" w14:paraId="014BCFA6" w14:textId="77777777" w:rsidTr="00520539">
        <w:tc>
          <w:tcPr>
            <w:tcW w:w="2444" w:type="dxa"/>
            <w:vAlign w:val="center"/>
          </w:tcPr>
          <w:p w14:paraId="0CAF53F0" w14:textId="13B83313" w:rsidR="00AC5039" w:rsidRPr="00AC5039" w:rsidRDefault="00AC5039" w:rsidP="00AE251A">
            <w:pPr>
              <w:pStyle w:val="ListParagraph"/>
              <w:spacing w:after="0" w:line="240" w:lineRule="auto"/>
              <w:ind w:left="0" w:firstLine="44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0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PI </w:t>
            </w:r>
            <w:proofErr w:type="spellStart"/>
            <w:r w:rsidRPr="00AC50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Căușeni</w:t>
            </w:r>
            <w:proofErr w:type="spellEnd"/>
          </w:p>
        </w:tc>
        <w:tc>
          <w:tcPr>
            <w:tcW w:w="2444" w:type="dxa"/>
            <w:vAlign w:val="center"/>
          </w:tcPr>
          <w:p w14:paraId="3D33CA2C" w14:textId="4EF8A0FC" w:rsidR="00AC5039" w:rsidRPr="00AC5039" w:rsidRDefault="00AC5039" w:rsidP="00520539">
            <w:pPr>
              <w:pStyle w:val="ListParagraph"/>
              <w:spacing w:after="0" w:line="240" w:lineRule="auto"/>
              <w:ind w:left="0" w:firstLine="44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0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UA→MD</w:t>
            </w:r>
          </w:p>
        </w:tc>
        <w:tc>
          <w:tcPr>
            <w:tcW w:w="2444" w:type="dxa"/>
            <w:vAlign w:val="center"/>
          </w:tcPr>
          <w:p w14:paraId="06DFC55E" w14:textId="1C8C2729" w:rsidR="00AC5039" w:rsidRPr="00AC5039" w:rsidRDefault="00AC5039" w:rsidP="00520539">
            <w:pPr>
              <w:pStyle w:val="ListParagraph"/>
              <w:spacing w:after="0" w:line="240" w:lineRule="auto"/>
              <w:ind w:left="0" w:firstLine="4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039">
              <w:rPr>
                <w:rFonts w:ascii="Times New Roman" w:hAnsi="Times New Roman"/>
                <w:sz w:val="24"/>
                <w:szCs w:val="24"/>
              </w:rPr>
              <w:t>192 020 746</w:t>
            </w:r>
          </w:p>
        </w:tc>
        <w:tc>
          <w:tcPr>
            <w:tcW w:w="2444" w:type="dxa"/>
            <w:vAlign w:val="center"/>
          </w:tcPr>
          <w:p w14:paraId="51A35049" w14:textId="47C71FC5" w:rsidR="00AC5039" w:rsidRPr="00AC5039" w:rsidRDefault="00AC5039" w:rsidP="005205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039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AC5039" w14:paraId="6AAE86D5" w14:textId="0F06B7B6" w:rsidTr="00520539">
        <w:tc>
          <w:tcPr>
            <w:tcW w:w="2444" w:type="dxa"/>
            <w:vAlign w:val="center"/>
          </w:tcPr>
          <w:p w14:paraId="0978BB66" w14:textId="77777777" w:rsidR="00AC5039" w:rsidRPr="00AC5039" w:rsidRDefault="00AC5039" w:rsidP="00AE251A">
            <w:pPr>
              <w:pStyle w:val="ListParagraph"/>
              <w:spacing w:after="0" w:line="240" w:lineRule="auto"/>
              <w:ind w:left="0" w:firstLine="44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0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PI </w:t>
            </w:r>
            <w:proofErr w:type="spellStart"/>
            <w:r w:rsidRPr="00AC50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Grebeniki</w:t>
            </w:r>
            <w:proofErr w:type="spellEnd"/>
          </w:p>
        </w:tc>
        <w:tc>
          <w:tcPr>
            <w:tcW w:w="2444" w:type="dxa"/>
            <w:vAlign w:val="center"/>
          </w:tcPr>
          <w:p w14:paraId="77B9E1DD" w14:textId="725E2B63" w:rsidR="00AC5039" w:rsidRPr="00AC5039" w:rsidRDefault="00AC5039" w:rsidP="00520539">
            <w:pPr>
              <w:pStyle w:val="ListParagraph"/>
              <w:spacing w:after="0" w:line="240" w:lineRule="auto"/>
              <w:ind w:left="0" w:firstLine="44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0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MD→UA</w:t>
            </w:r>
          </w:p>
        </w:tc>
        <w:tc>
          <w:tcPr>
            <w:tcW w:w="2444" w:type="dxa"/>
            <w:vAlign w:val="center"/>
          </w:tcPr>
          <w:p w14:paraId="311AC2C3" w14:textId="3D1A942B" w:rsidR="00AC5039" w:rsidRPr="00AC5039" w:rsidRDefault="00AC5039" w:rsidP="00520539">
            <w:pPr>
              <w:pStyle w:val="ListParagraph"/>
              <w:spacing w:after="0" w:line="240" w:lineRule="auto"/>
              <w:ind w:left="0" w:firstLine="44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039">
              <w:rPr>
                <w:rFonts w:ascii="Times New Roman" w:hAnsi="Times New Roman"/>
                <w:sz w:val="24"/>
                <w:szCs w:val="24"/>
              </w:rPr>
              <w:t>176 465 000</w:t>
            </w:r>
          </w:p>
        </w:tc>
        <w:tc>
          <w:tcPr>
            <w:tcW w:w="2444" w:type="dxa"/>
            <w:vAlign w:val="center"/>
          </w:tcPr>
          <w:p w14:paraId="0FC28993" w14:textId="3FB31A06" w:rsidR="00AC5039" w:rsidRPr="00AC5039" w:rsidRDefault="00AC5039" w:rsidP="005205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039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</w:tbl>
    <w:p w14:paraId="0A7AEE6E" w14:textId="77777777" w:rsidR="00AC5039" w:rsidRPr="009032FB" w:rsidRDefault="00AC5039" w:rsidP="00EA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D3CD41E" w14:textId="0EAE2DCC" w:rsidR="006242E4" w:rsidRDefault="009032FB" w:rsidP="00EA55E4">
      <w:pPr>
        <w:pStyle w:val="ListParagraph"/>
        <w:spacing w:after="0" w:line="24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9032FB">
        <w:rPr>
          <w:rFonts w:ascii="Times New Roman" w:eastAsia="Times New Roman" w:hAnsi="Times New Roman"/>
          <w:b/>
          <w:color w:val="000000"/>
          <w:sz w:val="24"/>
          <w:szCs w:val="24"/>
        </w:rPr>
        <w:t>Nivelul</w:t>
      </w:r>
      <w:proofErr w:type="spellEnd"/>
      <w:r w:rsidR="006242E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032FB">
        <w:rPr>
          <w:rFonts w:ascii="Times New Roman" w:eastAsia="Times New Roman" w:hAnsi="Times New Roman"/>
          <w:b/>
          <w:color w:val="000000"/>
          <w:sz w:val="24"/>
          <w:szCs w:val="24"/>
        </w:rPr>
        <w:t>ofertei</w:t>
      </w:r>
      <w:proofErr w:type="spellEnd"/>
      <w:r w:rsidRPr="009032F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032FB">
        <w:rPr>
          <w:rFonts w:ascii="Times New Roman" w:eastAsia="Times New Roman" w:hAnsi="Times New Roman"/>
          <w:b/>
          <w:color w:val="000000"/>
          <w:sz w:val="24"/>
          <w:szCs w:val="24"/>
        </w:rPr>
        <w:t>armonizate</w:t>
      </w:r>
      <w:proofErr w:type="spellEnd"/>
      <w:r w:rsidRPr="009032F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6242E4">
        <w:rPr>
          <w:rFonts w:ascii="Times New Roman" w:eastAsia="Times New Roman" w:hAnsi="Times New Roman"/>
          <w:b/>
          <w:color w:val="000000"/>
          <w:sz w:val="24"/>
          <w:szCs w:val="24"/>
        </w:rPr>
        <w:t>anii</w:t>
      </w:r>
      <w:proofErr w:type="spellEnd"/>
      <w:r w:rsidR="006242E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6242E4" w:rsidRPr="006242E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2027- 2042 (15 </w:t>
      </w:r>
      <w:proofErr w:type="spellStart"/>
      <w:r w:rsidR="006242E4" w:rsidRPr="006242E4">
        <w:rPr>
          <w:rFonts w:ascii="Times New Roman" w:eastAsia="Times New Roman" w:hAnsi="Times New Roman"/>
          <w:b/>
          <w:color w:val="000000"/>
          <w:sz w:val="24"/>
          <w:szCs w:val="24"/>
        </w:rPr>
        <w:t>ani</w:t>
      </w:r>
      <w:proofErr w:type="spellEnd"/>
      <w:r w:rsidR="006242E4" w:rsidRPr="006242E4">
        <w:rPr>
          <w:rFonts w:ascii="Times New Roman" w:eastAsia="Times New Roman" w:hAnsi="Times New Roman"/>
          <w:b/>
          <w:color w:val="000000"/>
          <w:sz w:val="24"/>
          <w:szCs w:val="24"/>
        </w:rPr>
        <w:t>)</w:t>
      </w:r>
    </w:p>
    <w:p w14:paraId="4B1F9884" w14:textId="77777777" w:rsidR="00984D90" w:rsidRDefault="00984D90" w:rsidP="00EA55E4">
      <w:pPr>
        <w:pStyle w:val="ListParagraph"/>
        <w:spacing w:after="0" w:line="24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TableGrid0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6242E4" w14:paraId="016E0444" w14:textId="05450D4E" w:rsidTr="00520539">
        <w:tc>
          <w:tcPr>
            <w:tcW w:w="3258" w:type="dxa"/>
            <w:shd w:val="clear" w:color="auto" w:fill="D0CECE" w:themeFill="background2" w:themeFillShade="E6"/>
            <w:vAlign w:val="center"/>
          </w:tcPr>
          <w:p w14:paraId="63E5514F" w14:textId="199B02BA" w:rsidR="006242E4" w:rsidRDefault="00AC5039" w:rsidP="00520539">
            <w:pPr>
              <w:pStyle w:val="ListParagraph"/>
              <w:spacing w:after="0" w:line="240" w:lineRule="auto"/>
              <w:ind w:left="0" w:firstLine="44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PI</w:t>
            </w:r>
          </w:p>
        </w:tc>
        <w:tc>
          <w:tcPr>
            <w:tcW w:w="3259" w:type="dxa"/>
            <w:shd w:val="clear" w:color="auto" w:fill="D0CECE" w:themeFill="background2" w:themeFillShade="E6"/>
            <w:vAlign w:val="center"/>
          </w:tcPr>
          <w:p w14:paraId="6F6D287A" w14:textId="012F94CE" w:rsidR="006242E4" w:rsidRDefault="00AC5039" w:rsidP="00520539">
            <w:pPr>
              <w:pStyle w:val="ListParagraph"/>
              <w:spacing w:after="0" w:line="240" w:lineRule="auto"/>
              <w:ind w:left="0" w:firstLine="44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9032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direcția</w:t>
            </w:r>
            <w:proofErr w:type="spellEnd"/>
          </w:p>
        </w:tc>
        <w:tc>
          <w:tcPr>
            <w:tcW w:w="3259" w:type="dxa"/>
            <w:shd w:val="clear" w:color="auto" w:fill="D0CECE" w:themeFill="background2" w:themeFillShade="E6"/>
            <w:vAlign w:val="center"/>
          </w:tcPr>
          <w:p w14:paraId="451C202F" w14:textId="210B7BA8" w:rsidR="006242E4" w:rsidRPr="006242E4" w:rsidRDefault="00AC5039" w:rsidP="00520539">
            <w:pPr>
              <w:pStyle w:val="ListParagraph"/>
              <w:spacing w:after="0" w:line="240" w:lineRule="auto"/>
              <w:ind w:left="0" w:firstLine="44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032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kWh/</w:t>
            </w:r>
            <w:proofErr w:type="spellStart"/>
            <w:r w:rsidRPr="009032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zi</w:t>
            </w:r>
            <w:proofErr w:type="spellEnd"/>
            <w:r w:rsidRPr="009032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/an</w:t>
            </w:r>
          </w:p>
        </w:tc>
      </w:tr>
      <w:tr w:rsidR="00AC5039" w14:paraId="1B7D7FED" w14:textId="77777777" w:rsidTr="00520539">
        <w:tc>
          <w:tcPr>
            <w:tcW w:w="3258" w:type="dxa"/>
            <w:vAlign w:val="center"/>
          </w:tcPr>
          <w:p w14:paraId="1412808E" w14:textId="509396D9" w:rsidR="00AC5039" w:rsidRPr="00AC5039" w:rsidRDefault="00AC5039" w:rsidP="00AE251A">
            <w:pPr>
              <w:pStyle w:val="ListParagraph"/>
              <w:spacing w:after="0" w:line="240" w:lineRule="auto"/>
              <w:ind w:left="0" w:firstLine="44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0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PI </w:t>
            </w:r>
            <w:proofErr w:type="spellStart"/>
            <w:r w:rsidRPr="00AC50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Căușeni</w:t>
            </w:r>
            <w:proofErr w:type="spellEnd"/>
          </w:p>
        </w:tc>
        <w:tc>
          <w:tcPr>
            <w:tcW w:w="3259" w:type="dxa"/>
            <w:vAlign w:val="center"/>
          </w:tcPr>
          <w:p w14:paraId="24DA7CC9" w14:textId="2D0A5A1B" w:rsidR="00AC5039" w:rsidRPr="00AC5039" w:rsidRDefault="00AC5039" w:rsidP="00520539">
            <w:pPr>
              <w:pStyle w:val="ListParagraph"/>
              <w:spacing w:after="0" w:line="240" w:lineRule="auto"/>
              <w:ind w:left="0" w:firstLine="44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0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UA→MD</w:t>
            </w:r>
          </w:p>
        </w:tc>
        <w:tc>
          <w:tcPr>
            <w:tcW w:w="3259" w:type="dxa"/>
            <w:vAlign w:val="center"/>
          </w:tcPr>
          <w:p w14:paraId="6CF20382" w14:textId="490EF339" w:rsidR="00AC5039" w:rsidRPr="00AC5039" w:rsidRDefault="00AC5039" w:rsidP="00520539">
            <w:pPr>
              <w:pStyle w:val="ListParagraph"/>
              <w:spacing w:after="0" w:line="240" w:lineRule="auto"/>
              <w:ind w:left="0" w:firstLine="44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0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172 818 671</w:t>
            </w:r>
          </w:p>
        </w:tc>
      </w:tr>
      <w:tr w:rsidR="00AC5039" w14:paraId="39C02D3A" w14:textId="630B836A" w:rsidTr="00520539">
        <w:tc>
          <w:tcPr>
            <w:tcW w:w="3258" w:type="dxa"/>
            <w:vAlign w:val="center"/>
          </w:tcPr>
          <w:p w14:paraId="74A65CE5" w14:textId="6EF6C2A0" w:rsidR="00AC5039" w:rsidRPr="00AC5039" w:rsidRDefault="00AC5039" w:rsidP="00AE251A">
            <w:pPr>
              <w:pStyle w:val="ListParagraph"/>
              <w:spacing w:after="0" w:line="240" w:lineRule="auto"/>
              <w:ind w:left="0" w:firstLine="44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0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PI </w:t>
            </w:r>
            <w:proofErr w:type="spellStart"/>
            <w:r w:rsidRPr="00AC50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Grebeniki</w:t>
            </w:r>
            <w:proofErr w:type="spellEnd"/>
          </w:p>
        </w:tc>
        <w:tc>
          <w:tcPr>
            <w:tcW w:w="3259" w:type="dxa"/>
            <w:vAlign w:val="center"/>
          </w:tcPr>
          <w:p w14:paraId="2D46C63D" w14:textId="196C51E5" w:rsidR="00AC5039" w:rsidRPr="00AC5039" w:rsidRDefault="00AC5039" w:rsidP="00520539">
            <w:pPr>
              <w:pStyle w:val="ListParagraph"/>
              <w:spacing w:after="0" w:line="240" w:lineRule="auto"/>
              <w:ind w:left="0" w:firstLine="44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0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MD→UA</w:t>
            </w:r>
          </w:p>
        </w:tc>
        <w:tc>
          <w:tcPr>
            <w:tcW w:w="3259" w:type="dxa"/>
            <w:vAlign w:val="center"/>
          </w:tcPr>
          <w:p w14:paraId="4BBD5944" w14:textId="5D95BD3A" w:rsidR="00AC5039" w:rsidRPr="00AC5039" w:rsidRDefault="00AC5039" w:rsidP="00520539">
            <w:pPr>
              <w:pStyle w:val="ListParagraph"/>
              <w:spacing w:after="0" w:line="240" w:lineRule="auto"/>
              <w:ind w:left="0" w:firstLine="44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0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158 818 500</w:t>
            </w:r>
          </w:p>
        </w:tc>
      </w:tr>
    </w:tbl>
    <w:p w14:paraId="16D5BCF1" w14:textId="77777777" w:rsidR="006242E4" w:rsidRDefault="006242E4" w:rsidP="00EA55E4">
      <w:pPr>
        <w:pStyle w:val="ListParagraph"/>
        <w:spacing w:after="0" w:line="24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34CAA228" w14:textId="75998434" w:rsidR="003C03B4" w:rsidRPr="00D03388" w:rsidRDefault="003C03B4" w:rsidP="00520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388">
        <w:rPr>
          <w:rFonts w:ascii="Times New Roman" w:hAnsi="Times New Roman"/>
          <w:sz w:val="24"/>
          <w:szCs w:val="24"/>
        </w:rPr>
        <w:t>Pentru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licitarea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capacității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incrementale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03388">
        <w:rPr>
          <w:rFonts w:ascii="Times New Roman" w:hAnsi="Times New Roman"/>
          <w:sz w:val="24"/>
          <w:szCs w:val="24"/>
        </w:rPr>
        <w:t>nivelul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ofertei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03388">
        <w:rPr>
          <w:rFonts w:ascii="Times New Roman" w:hAnsi="Times New Roman"/>
          <w:sz w:val="24"/>
          <w:szCs w:val="24"/>
        </w:rPr>
        <w:t>în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cadrul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licitației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anuale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de capacitate 2024, GTSOU </w:t>
      </w:r>
      <w:proofErr w:type="spellStart"/>
      <w:r w:rsidRPr="00D03388">
        <w:rPr>
          <w:rFonts w:ascii="Times New Roman" w:hAnsi="Times New Roman"/>
          <w:sz w:val="24"/>
          <w:szCs w:val="24"/>
        </w:rPr>
        <w:t>și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VTMG au </w:t>
      </w:r>
      <w:proofErr w:type="spellStart"/>
      <w:r w:rsidRPr="00D03388">
        <w:rPr>
          <w:rFonts w:ascii="Times New Roman" w:hAnsi="Times New Roman"/>
          <w:sz w:val="24"/>
          <w:szCs w:val="24"/>
        </w:rPr>
        <w:t>elaborat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i/>
          <w:sz w:val="24"/>
          <w:szCs w:val="24"/>
        </w:rPr>
        <w:t>Termeni</w:t>
      </w:r>
      <w:proofErr w:type="spellEnd"/>
      <w:r w:rsidRPr="00D033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D033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i/>
          <w:sz w:val="24"/>
          <w:szCs w:val="24"/>
        </w:rPr>
        <w:t>condiții</w:t>
      </w:r>
      <w:r w:rsidR="002851E2">
        <w:rPr>
          <w:rFonts w:ascii="Times New Roman" w:hAnsi="Times New Roman"/>
          <w:i/>
          <w:sz w:val="24"/>
          <w:szCs w:val="24"/>
        </w:rPr>
        <w:t>le</w:t>
      </w:r>
      <w:proofErr w:type="spellEnd"/>
      <w:r w:rsidR="002851E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51E2">
        <w:rPr>
          <w:rFonts w:ascii="Times New Roman" w:hAnsi="Times New Roman"/>
          <w:i/>
          <w:sz w:val="24"/>
          <w:szCs w:val="24"/>
        </w:rPr>
        <w:t>generale</w:t>
      </w:r>
      <w:proofErr w:type="spellEnd"/>
      <w:r w:rsidRPr="00D033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i/>
          <w:sz w:val="24"/>
          <w:szCs w:val="24"/>
        </w:rPr>
        <w:t>pe</w:t>
      </w:r>
      <w:proofErr w:type="spellEnd"/>
      <w:r w:rsidRPr="00D03388">
        <w:rPr>
          <w:rFonts w:ascii="Times New Roman" w:hAnsi="Times New Roman"/>
          <w:i/>
          <w:sz w:val="24"/>
          <w:szCs w:val="24"/>
        </w:rPr>
        <w:t xml:space="preserve"> care un </w:t>
      </w:r>
      <w:proofErr w:type="spellStart"/>
      <w:r w:rsidRPr="00D03388">
        <w:rPr>
          <w:rFonts w:ascii="Times New Roman" w:hAnsi="Times New Roman"/>
          <w:i/>
          <w:sz w:val="24"/>
          <w:szCs w:val="24"/>
        </w:rPr>
        <w:t>utilizator</w:t>
      </w:r>
      <w:proofErr w:type="spellEnd"/>
      <w:r w:rsidRPr="00D03388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D03388">
        <w:rPr>
          <w:rFonts w:ascii="Times New Roman" w:hAnsi="Times New Roman"/>
          <w:i/>
          <w:sz w:val="24"/>
          <w:szCs w:val="24"/>
        </w:rPr>
        <w:t>sistem</w:t>
      </w:r>
      <w:proofErr w:type="spellEnd"/>
      <w:r w:rsidRPr="00D033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i/>
          <w:sz w:val="24"/>
          <w:szCs w:val="24"/>
        </w:rPr>
        <w:t>trebuie</w:t>
      </w:r>
      <w:proofErr w:type="spellEnd"/>
      <w:r w:rsidRPr="00D033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i/>
          <w:sz w:val="24"/>
          <w:szCs w:val="24"/>
        </w:rPr>
        <w:t>să</w:t>
      </w:r>
      <w:proofErr w:type="spellEnd"/>
      <w:r w:rsidRPr="00D03388">
        <w:rPr>
          <w:rFonts w:ascii="Times New Roman" w:hAnsi="Times New Roman"/>
          <w:i/>
          <w:sz w:val="24"/>
          <w:szCs w:val="24"/>
        </w:rPr>
        <w:t xml:space="preserve"> le </w:t>
      </w:r>
      <w:proofErr w:type="spellStart"/>
      <w:r w:rsidRPr="00D03388">
        <w:rPr>
          <w:rFonts w:ascii="Times New Roman" w:hAnsi="Times New Roman"/>
          <w:i/>
          <w:sz w:val="24"/>
          <w:szCs w:val="24"/>
        </w:rPr>
        <w:t>acceptee</w:t>
      </w:r>
      <w:proofErr w:type="spellEnd"/>
      <w:r w:rsidRPr="00D033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i/>
          <w:sz w:val="24"/>
          <w:szCs w:val="24"/>
        </w:rPr>
        <w:t>pentru</w:t>
      </w:r>
      <w:proofErr w:type="spellEnd"/>
      <w:r w:rsidRPr="00D03388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D03388">
        <w:rPr>
          <w:rFonts w:ascii="Times New Roman" w:hAnsi="Times New Roman"/>
          <w:i/>
          <w:sz w:val="24"/>
          <w:szCs w:val="24"/>
        </w:rPr>
        <w:t>participa</w:t>
      </w:r>
      <w:proofErr w:type="spellEnd"/>
      <w:r w:rsidRPr="00D033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D03388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D03388">
        <w:rPr>
          <w:rFonts w:ascii="Times New Roman" w:hAnsi="Times New Roman"/>
          <w:i/>
          <w:sz w:val="24"/>
          <w:szCs w:val="24"/>
        </w:rPr>
        <w:t>avea</w:t>
      </w:r>
      <w:proofErr w:type="spellEnd"/>
      <w:r w:rsidRPr="00D033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i/>
          <w:sz w:val="24"/>
          <w:szCs w:val="24"/>
        </w:rPr>
        <w:t>acces</w:t>
      </w:r>
      <w:proofErr w:type="spellEnd"/>
      <w:r w:rsidRPr="00D03388">
        <w:rPr>
          <w:rFonts w:ascii="Times New Roman" w:hAnsi="Times New Roman"/>
          <w:i/>
          <w:sz w:val="24"/>
          <w:szCs w:val="24"/>
        </w:rPr>
        <w:t xml:space="preserve"> la </w:t>
      </w:r>
      <w:proofErr w:type="spellStart"/>
      <w:r w:rsidRPr="00D03388">
        <w:rPr>
          <w:rFonts w:ascii="Times New Roman" w:hAnsi="Times New Roman"/>
          <w:i/>
          <w:sz w:val="24"/>
          <w:szCs w:val="24"/>
        </w:rPr>
        <w:t>etapa</w:t>
      </w:r>
      <w:proofErr w:type="spellEnd"/>
      <w:r w:rsidRPr="00D033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i/>
          <w:sz w:val="24"/>
          <w:szCs w:val="24"/>
        </w:rPr>
        <w:t>angajată</w:t>
      </w:r>
      <w:proofErr w:type="spellEnd"/>
      <w:r w:rsidRPr="00D03388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D03388">
        <w:rPr>
          <w:rFonts w:ascii="Times New Roman" w:hAnsi="Times New Roman"/>
          <w:i/>
          <w:sz w:val="24"/>
          <w:szCs w:val="24"/>
        </w:rPr>
        <w:t>alocare</w:t>
      </w:r>
      <w:proofErr w:type="spellEnd"/>
      <w:r w:rsidRPr="00D03388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D03388">
        <w:rPr>
          <w:rFonts w:ascii="Times New Roman" w:hAnsi="Times New Roman"/>
          <w:i/>
          <w:sz w:val="24"/>
          <w:szCs w:val="24"/>
        </w:rPr>
        <w:t>capacității</w:t>
      </w:r>
      <w:proofErr w:type="spellEnd"/>
      <w:r w:rsidRPr="00D033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i/>
          <w:sz w:val="24"/>
          <w:szCs w:val="24"/>
        </w:rPr>
        <w:t>incrementale</w:t>
      </w:r>
      <w:proofErr w:type="spellEnd"/>
      <w:r w:rsidRPr="00D03388">
        <w:rPr>
          <w:rFonts w:ascii="Times New Roman" w:hAnsi="Times New Roman"/>
          <w:i/>
          <w:sz w:val="24"/>
          <w:szCs w:val="24"/>
        </w:rPr>
        <w:t xml:space="preserve"> la </w:t>
      </w:r>
      <w:proofErr w:type="spellStart"/>
      <w:r w:rsidRPr="00D03388">
        <w:rPr>
          <w:rFonts w:ascii="Times New Roman" w:hAnsi="Times New Roman"/>
          <w:i/>
          <w:sz w:val="24"/>
          <w:szCs w:val="24"/>
        </w:rPr>
        <w:t>punctele</w:t>
      </w:r>
      <w:proofErr w:type="spellEnd"/>
      <w:r w:rsidRPr="00D03388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D03388">
        <w:rPr>
          <w:rFonts w:ascii="Times New Roman" w:hAnsi="Times New Roman"/>
          <w:i/>
          <w:sz w:val="24"/>
          <w:szCs w:val="24"/>
        </w:rPr>
        <w:t>interconectare</w:t>
      </w:r>
      <w:proofErr w:type="spellEnd"/>
      <w:r w:rsidRPr="00D033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i/>
          <w:sz w:val="24"/>
          <w:szCs w:val="24"/>
        </w:rPr>
        <w:t>dintr</w:t>
      </w:r>
      <w:r w:rsidR="00D03388" w:rsidRPr="00D03388">
        <w:rPr>
          <w:rFonts w:ascii="Times New Roman" w:hAnsi="Times New Roman"/>
          <w:i/>
          <w:sz w:val="24"/>
          <w:szCs w:val="24"/>
        </w:rPr>
        <w:t>e</w:t>
      </w:r>
      <w:proofErr w:type="spellEnd"/>
      <w:r w:rsidR="00D03388" w:rsidRPr="00D033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3388" w:rsidRPr="00D03388">
        <w:rPr>
          <w:rFonts w:ascii="Times New Roman" w:hAnsi="Times New Roman"/>
          <w:i/>
          <w:sz w:val="24"/>
          <w:szCs w:val="24"/>
        </w:rPr>
        <w:t>Ucraina</w:t>
      </w:r>
      <w:proofErr w:type="spellEnd"/>
      <w:r w:rsidR="00D03388" w:rsidRPr="00D033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3388" w:rsidRPr="00D03388">
        <w:rPr>
          <w:rFonts w:ascii="Times New Roman" w:hAnsi="Times New Roman"/>
          <w:i/>
          <w:sz w:val="24"/>
          <w:szCs w:val="24"/>
        </w:rPr>
        <w:t>și</w:t>
      </w:r>
      <w:proofErr w:type="spellEnd"/>
      <w:r w:rsidR="00D03388" w:rsidRPr="00D033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3388" w:rsidRPr="00D03388">
        <w:rPr>
          <w:rFonts w:ascii="Times New Roman" w:hAnsi="Times New Roman"/>
          <w:i/>
          <w:sz w:val="24"/>
          <w:szCs w:val="24"/>
        </w:rPr>
        <w:t>Republica</w:t>
      </w:r>
      <w:proofErr w:type="spellEnd"/>
      <w:r w:rsidR="00D03388" w:rsidRPr="00D03388">
        <w:rPr>
          <w:rFonts w:ascii="Times New Roman" w:hAnsi="Times New Roman"/>
          <w:i/>
          <w:sz w:val="24"/>
          <w:szCs w:val="24"/>
        </w:rPr>
        <w:t xml:space="preserve"> Moldova</w:t>
      </w:r>
      <w:r w:rsidR="00D03388" w:rsidRPr="00D03388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Anexei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AC5039">
        <w:rPr>
          <w:rFonts w:ascii="Times New Roman" w:hAnsi="Times New Roman"/>
          <w:sz w:val="24"/>
          <w:szCs w:val="24"/>
        </w:rPr>
        <w:t>P</w:t>
      </w:r>
      <w:r w:rsidR="00D03388" w:rsidRPr="00D03388">
        <w:rPr>
          <w:rFonts w:ascii="Times New Roman" w:hAnsi="Times New Roman"/>
          <w:sz w:val="24"/>
          <w:szCs w:val="24"/>
        </w:rPr>
        <w:t>ropunerea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proiect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>.</w:t>
      </w:r>
    </w:p>
    <w:p w14:paraId="56F4A074" w14:textId="77777777" w:rsidR="00D03388" w:rsidRPr="00D03388" w:rsidRDefault="00D03388" w:rsidP="00EA55E4">
      <w:pPr>
        <w:spacing w:after="0" w:line="240" w:lineRule="auto"/>
        <w:ind w:left="7" w:right="-1" w:firstLine="702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14:paraId="55BD14C4" w14:textId="169AEDB9" w:rsidR="00552186" w:rsidRPr="00D03388" w:rsidRDefault="00552186" w:rsidP="0052053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D03388">
        <w:rPr>
          <w:rFonts w:ascii="Times New Roman" w:eastAsia="Times New Roman" w:hAnsi="Times New Roman"/>
          <w:sz w:val="24"/>
          <w:szCs w:val="24"/>
          <w:lang w:val="ro-MD"/>
        </w:rPr>
        <w:t>Calendarul proiectului de capacitate incrementală</w:t>
      </w:r>
      <w:r w:rsidR="00D03388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de către VMTG</w:t>
      </w:r>
    </w:p>
    <w:tbl>
      <w:tblPr>
        <w:tblStyle w:val="TableGrid0"/>
        <w:tblW w:w="5000" w:type="pct"/>
        <w:jc w:val="center"/>
        <w:tblLook w:val="04A0" w:firstRow="1" w:lastRow="0" w:firstColumn="1" w:lastColumn="0" w:noHBand="0" w:noVBand="1"/>
      </w:tblPr>
      <w:tblGrid>
        <w:gridCol w:w="1851"/>
        <w:gridCol w:w="8039"/>
      </w:tblGrid>
      <w:tr w:rsidR="00D03388" w:rsidRPr="00D03388" w14:paraId="5F2BE28C" w14:textId="77777777" w:rsidTr="00FC387A">
        <w:trPr>
          <w:trHeight w:val="274"/>
          <w:jc w:val="center"/>
        </w:trPr>
        <w:tc>
          <w:tcPr>
            <w:tcW w:w="936" w:type="pct"/>
          </w:tcPr>
          <w:p w14:paraId="3075C293" w14:textId="63ACB5C1" w:rsidR="00D03388" w:rsidRPr="00D03388" w:rsidRDefault="00D03388" w:rsidP="00EA5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388">
              <w:rPr>
                <w:rFonts w:ascii="Times New Roman" w:hAnsi="Times New Roman"/>
                <w:b/>
                <w:sz w:val="24"/>
                <w:szCs w:val="24"/>
              </w:rPr>
              <w:t>PERIOADA</w:t>
            </w:r>
          </w:p>
        </w:tc>
        <w:tc>
          <w:tcPr>
            <w:tcW w:w="4064" w:type="pct"/>
            <w:noWrap/>
            <w:hideMark/>
          </w:tcPr>
          <w:p w14:paraId="30B65D73" w14:textId="77777777" w:rsidR="00D03388" w:rsidRPr="00D03388" w:rsidRDefault="00D03388" w:rsidP="00EA5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388">
              <w:rPr>
                <w:rFonts w:ascii="Times New Roman" w:hAnsi="Times New Roman"/>
                <w:b/>
                <w:sz w:val="24"/>
                <w:szCs w:val="24"/>
              </w:rPr>
              <w:t>ETAPE</w:t>
            </w:r>
          </w:p>
        </w:tc>
      </w:tr>
      <w:tr w:rsidR="00D03388" w:rsidRPr="00D03388" w14:paraId="4955E744" w14:textId="77777777" w:rsidTr="00FC387A">
        <w:trPr>
          <w:trHeight w:val="58"/>
          <w:jc w:val="center"/>
        </w:trPr>
        <w:tc>
          <w:tcPr>
            <w:tcW w:w="936" w:type="pct"/>
          </w:tcPr>
          <w:p w14:paraId="319F0E48" w14:textId="77777777" w:rsidR="00D03388" w:rsidRPr="00D03388" w:rsidRDefault="00D03388" w:rsidP="00EA5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E">
              <w:rPr>
                <w:rFonts w:ascii="Times New Roman" w:hAnsi="Times New Roman"/>
                <w:sz w:val="24"/>
                <w:szCs w:val="24"/>
              </w:rPr>
              <w:t>01/07</w:t>
            </w:r>
            <w:r w:rsidRPr="00D03388">
              <w:rPr>
                <w:rFonts w:ascii="Times New Roman" w:hAnsi="Times New Roman"/>
                <w:sz w:val="24"/>
                <w:szCs w:val="24"/>
              </w:rPr>
              <w:t>/2024</w:t>
            </w:r>
          </w:p>
        </w:tc>
        <w:tc>
          <w:tcPr>
            <w:tcW w:w="4064" w:type="pct"/>
          </w:tcPr>
          <w:p w14:paraId="3DF3B43A" w14:textId="77777777" w:rsidR="00D03388" w:rsidRPr="00D03388" w:rsidRDefault="00D03388" w:rsidP="00EA5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Licitație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</w:rPr>
              <w:t xml:space="preserve"> de capacitate 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iulie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</w:rPr>
              <w:t xml:space="preserve"> 2024 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urmată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</w:rPr>
              <w:t xml:space="preserve"> de un test economic</w:t>
            </w:r>
          </w:p>
        </w:tc>
      </w:tr>
      <w:tr w:rsidR="00D03388" w:rsidRPr="00D03388" w14:paraId="6D23F98B" w14:textId="77777777" w:rsidTr="00520539">
        <w:trPr>
          <w:trHeight w:val="524"/>
          <w:jc w:val="center"/>
        </w:trPr>
        <w:tc>
          <w:tcPr>
            <w:tcW w:w="936" w:type="pct"/>
            <w:vAlign w:val="center"/>
          </w:tcPr>
          <w:p w14:paraId="7F95FF81" w14:textId="77777777" w:rsidR="00D03388" w:rsidRPr="00D03388" w:rsidRDefault="00D03388" w:rsidP="00AE2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388">
              <w:rPr>
                <w:rFonts w:ascii="Times New Roman" w:hAnsi="Times New Roman"/>
                <w:sz w:val="24"/>
                <w:szCs w:val="24"/>
              </w:rPr>
              <w:t>2T/2025</w:t>
            </w:r>
          </w:p>
        </w:tc>
        <w:tc>
          <w:tcPr>
            <w:tcW w:w="4064" w:type="pct"/>
            <w:hideMark/>
          </w:tcPr>
          <w:p w14:paraId="3877F5F8" w14:textId="77777777" w:rsidR="00D03388" w:rsidRPr="00D03388" w:rsidRDefault="00D03388" w:rsidP="00520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Inițiere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elaborarea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specificațiilor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proiectare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achiziții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obținerea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autorizației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construcție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altor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autorizații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necesare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03388" w:rsidRPr="00D03388" w14:paraId="6B6F2D30" w14:textId="77777777" w:rsidTr="00FC387A">
        <w:trPr>
          <w:trHeight w:val="288"/>
          <w:jc w:val="center"/>
        </w:trPr>
        <w:tc>
          <w:tcPr>
            <w:tcW w:w="936" w:type="pct"/>
          </w:tcPr>
          <w:p w14:paraId="18292A28" w14:textId="77777777" w:rsidR="00D03388" w:rsidRPr="00D03388" w:rsidRDefault="00D03388" w:rsidP="00EA5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388">
              <w:rPr>
                <w:rFonts w:ascii="Times New Roman" w:hAnsi="Times New Roman"/>
                <w:sz w:val="24"/>
                <w:szCs w:val="24"/>
              </w:rPr>
              <w:t>1T/2026</w:t>
            </w:r>
          </w:p>
        </w:tc>
        <w:tc>
          <w:tcPr>
            <w:tcW w:w="4064" w:type="pct"/>
            <w:noWrap/>
            <w:hideMark/>
          </w:tcPr>
          <w:p w14:paraId="7E43004B" w14:textId="77777777" w:rsidR="00D03388" w:rsidRPr="00D03388" w:rsidRDefault="00D03388" w:rsidP="00EA5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Executarea</w:t>
            </w:r>
            <w:proofErr w:type="spellEnd"/>
          </w:p>
        </w:tc>
      </w:tr>
      <w:tr w:rsidR="00D03388" w:rsidRPr="00D03388" w14:paraId="7203FE7F" w14:textId="77777777" w:rsidTr="00FC387A">
        <w:trPr>
          <w:trHeight w:val="292"/>
          <w:jc w:val="center"/>
        </w:trPr>
        <w:tc>
          <w:tcPr>
            <w:tcW w:w="936" w:type="pct"/>
          </w:tcPr>
          <w:p w14:paraId="232572AA" w14:textId="77777777" w:rsidR="00D03388" w:rsidRPr="00D03388" w:rsidRDefault="00D03388" w:rsidP="00EA5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388">
              <w:rPr>
                <w:rFonts w:ascii="Times New Roman" w:hAnsi="Times New Roman"/>
                <w:sz w:val="24"/>
                <w:szCs w:val="24"/>
              </w:rPr>
              <w:t>2T/2026</w:t>
            </w:r>
          </w:p>
        </w:tc>
        <w:tc>
          <w:tcPr>
            <w:tcW w:w="4064" w:type="pct"/>
            <w:noWrap/>
            <w:hideMark/>
          </w:tcPr>
          <w:p w14:paraId="6EACB0B5" w14:textId="77777777" w:rsidR="00D03388" w:rsidRPr="00D03388" w:rsidRDefault="00D03388" w:rsidP="00EA5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Efectuarea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Testării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validării</w:t>
            </w:r>
            <w:proofErr w:type="spellEnd"/>
          </w:p>
        </w:tc>
      </w:tr>
      <w:tr w:rsidR="00D03388" w:rsidRPr="00D03388" w14:paraId="3BC2A7CB" w14:textId="77777777" w:rsidTr="00FC387A">
        <w:trPr>
          <w:trHeight w:val="125"/>
          <w:jc w:val="center"/>
        </w:trPr>
        <w:tc>
          <w:tcPr>
            <w:tcW w:w="936" w:type="pct"/>
          </w:tcPr>
          <w:p w14:paraId="1E4739F6" w14:textId="77777777" w:rsidR="00D03388" w:rsidRPr="00D03388" w:rsidRDefault="00D03388" w:rsidP="00EA5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388">
              <w:rPr>
                <w:rFonts w:ascii="Times New Roman" w:hAnsi="Times New Roman"/>
                <w:sz w:val="24"/>
                <w:szCs w:val="24"/>
              </w:rPr>
              <w:t>2T/2026</w:t>
            </w:r>
          </w:p>
        </w:tc>
        <w:tc>
          <w:tcPr>
            <w:tcW w:w="4064" w:type="pct"/>
            <w:noWrap/>
            <w:hideMark/>
          </w:tcPr>
          <w:p w14:paraId="2D875488" w14:textId="77777777" w:rsidR="00D03388" w:rsidRPr="00D03388" w:rsidRDefault="00D03388" w:rsidP="00EA5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Recepție</w:t>
            </w:r>
            <w:proofErr w:type="spellEnd"/>
          </w:p>
        </w:tc>
      </w:tr>
      <w:tr w:rsidR="00D03388" w:rsidRPr="00D03388" w14:paraId="3303205E" w14:textId="77777777" w:rsidTr="00FC387A">
        <w:trPr>
          <w:trHeight w:val="129"/>
          <w:jc w:val="center"/>
        </w:trPr>
        <w:tc>
          <w:tcPr>
            <w:tcW w:w="936" w:type="pct"/>
          </w:tcPr>
          <w:p w14:paraId="35ABEE0A" w14:textId="77777777" w:rsidR="00D03388" w:rsidRPr="00D03388" w:rsidRDefault="00D03388" w:rsidP="00EA5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388">
              <w:rPr>
                <w:rFonts w:ascii="Times New Roman" w:hAnsi="Times New Roman"/>
                <w:sz w:val="24"/>
                <w:szCs w:val="24"/>
              </w:rPr>
              <w:t>2T/2026</w:t>
            </w:r>
          </w:p>
        </w:tc>
        <w:tc>
          <w:tcPr>
            <w:tcW w:w="4064" w:type="pct"/>
            <w:noWrap/>
            <w:hideMark/>
          </w:tcPr>
          <w:p w14:paraId="1FD7C090" w14:textId="77777777" w:rsidR="00D03388" w:rsidRPr="00D03388" w:rsidRDefault="00D03388" w:rsidP="00EA5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Punere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</w:rPr>
              <w:t>funcțiune</w:t>
            </w:r>
            <w:proofErr w:type="spellEnd"/>
          </w:p>
        </w:tc>
      </w:tr>
      <w:tr w:rsidR="00D03388" w:rsidRPr="00D03388" w14:paraId="5096F50D" w14:textId="77777777" w:rsidTr="00FC387A">
        <w:trPr>
          <w:trHeight w:val="266"/>
          <w:jc w:val="center"/>
        </w:trPr>
        <w:tc>
          <w:tcPr>
            <w:tcW w:w="936" w:type="pct"/>
          </w:tcPr>
          <w:p w14:paraId="19FD77A3" w14:textId="77777777" w:rsidR="00D03388" w:rsidRPr="00D03388" w:rsidRDefault="00D03388" w:rsidP="00EA5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388">
              <w:rPr>
                <w:rFonts w:ascii="Times New Roman" w:hAnsi="Times New Roman"/>
                <w:sz w:val="24"/>
                <w:szCs w:val="24"/>
              </w:rPr>
              <w:t>3T/2026</w:t>
            </w:r>
          </w:p>
        </w:tc>
        <w:tc>
          <w:tcPr>
            <w:tcW w:w="4064" w:type="pct"/>
            <w:hideMark/>
          </w:tcPr>
          <w:p w14:paraId="2BE3789D" w14:textId="77777777" w:rsidR="00D03388" w:rsidRPr="00D03388" w:rsidRDefault="00D03388" w:rsidP="00EA5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388">
              <w:rPr>
                <w:rFonts w:ascii="Times New Roman" w:hAnsi="Times New Roman"/>
                <w:sz w:val="24"/>
                <w:szCs w:val="24"/>
                <w:lang w:eastAsia="en-US"/>
              </w:rPr>
              <w:t>Începerea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  <w:lang w:eastAsia="en-US"/>
              </w:rPr>
              <w:t>preconizată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  <w:lang w:eastAsia="en-US"/>
              </w:rPr>
              <w:t>exploatării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  <w:lang w:eastAsia="en-US"/>
              </w:rPr>
              <w:t>comerciale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  <w:lang w:eastAsia="en-US"/>
              </w:rPr>
              <w:t>noii</w:t>
            </w:r>
            <w:proofErr w:type="spellEnd"/>
            <w:r w:rsidRPr="00D03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3388">
              <w:rPr>
                <w:rFonts w:ascii="Times New Roman" w:hAnsi="Times New Roman"/>
                <w:sz w:val="24"/>
                <w:szCs w:val="24"/>
                <w:lang w:eastAsia="en-US"/>
              </w:rPr>
              <w:t>infrastructuri</w:t>
            </w:r>
            <w:proofErr w:type="spellEnd"/>
          </w:p>
        </w:tc>
      </w:tr>
    </w:tbl>
    <w:p w14:paraId="4A43E1A4" w14:textId="3734E3CC" w:rsidR="00D03388" w:rsidRPr="00D03388" w:rsidRDefault="00D03388" w:rsidP="00EA5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44FEE" w14:textId="393D5075" w:rsidR="00D03388" w:rsidRPr="00D03388" w:rsidRDefault="00D03388" w:rsidP="00520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388">
        <w:rPr>
          <w:rFonts w:ascii="Times New Roman" w:hAnsi="Times New Roman"/>
          <w:sz w:val="24"/>
          <w:szCs w:val="24"/>
        </w:rPr>
        <w:t>Etapa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03388">
        <w:rPr>
          <w:rFonts w:ascii="Times New Roman" w:hAnsi="Times New Roman"/>
          <w:sz w:val="24"/>
          <w:szCs w:val="24"/>
        </w:rPr>
        <w:t>construcție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va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începe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doar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dacă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există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angajamentul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utilizatorilor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03388">
        <w:rPr>
          <w:rFonts w:ascii="Times New Roman" w:hAnsi="Times New Roman"/>
          <w:sz w:val="24"/>
          <w:szCs w:val="24"/>
        </w:rPr>
        <w:t>sistem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D03388">
        <w:rPr>
          <w:rFonts w:ascii="Times New Roman" w:hAnsi="Times New Roman"/>
          <w:sz w:val="24"/>
          <w:szCs w:val="24"/>
        </w:rPr>
        <w:t>achiziționa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capacitățile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incrementale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respective </w:t>
      </w:r>
      <w:proofErr w:type="spellStart"/>
      <w:r w:rsidRPr="00D03388">
        <w:rPr>
          <w:rFonts w:ascii="Times New Roman" w:hAnsi="Times New Roman"/>
          <w:sz w:val="24"/>
          <w:szCs w:val="24"/>
        </w:rPr>
        <w:t>în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licitația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anuală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2024 </w:t>
      </w:r>
      <w:proofErr w:type="spellStart"/>
      <w:r w:rsidRPr="00D03388">
        <w:rPr>
          <w:rFonts w:ascii="Times New Roman" w:hAnsi="Times New Roman"/>
          <w:sz w:val="24"/>
          <w:szCs w:val="24"/>
        </w:rPr>
        <w:t>și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dacă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rezultatele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testelor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economice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sunt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pozitive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atât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pentru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GTSOU, </w:t>
      </w:r>
      <w:proofErr w:type="spellStart"/>
      <w:r w:rsidRPr="00D03388">
        <w:rPr>
          <w:rFonts w:ascii="Times New Roman" w:hAnsi="Times New Roman"/>
          <w:sz w:val="24"/>
          <w:szCs w:val="24"/>
        </w:rPr>
        <w:t>cât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și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pentru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VMTG.</w:t>
      </w:r>
    </w:p>
    <w:p w14:paraId="7BB9250F" w14:textId="77777777" w:rsidR="00984D90" w:rsidRDefault="00984D90" w:rsidP="00EA55E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D35CCBA" w14:textId="5EF1C255" w:rsidR="00D03388" w:rsidRPr="00984D90" w:rsidRDefault="00D03388" w:rsidP="005205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984D90">
        <w:rPr>
          <w:rFonts w:ascii="Times New Roman" w:hAnsi="Times New Roman"/>
          <w:b/>
          <w:bCs/>
          <w:sz w:val="24"/>
          <w:szCs w:val="24"/>
          <w:u w:val="single"/>
        </w:rPr>
        <w:t>Descrierea</w:t>
      </w:r>
      <w:proofErr w:type="spellEnd"/>
      <w:r w:rsidRPr="00984D9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84D90">
        <w:rPr>
          <w:rFonts w:ascii="Times New Roman" w:hAnsi="Times New Roman"/>
          <w:b/>
          <w:bCs/>
          <w:sz w:val="24"/>
          <w:szCs w:val="24"/>
          <w:u w:val="single"/>
        </w:rPr>
        <w:t>proiectului</w:t>
      </w:r>
      <w:proofErr w:type="spellEnd"/>
      <w:r w:rsidRPr="00984D9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84D90">
        <w:rPr>
          <w:rFonts w:ascii="Times New Roman" w:hAnsi="Times New Roman"/>
          <w:b/>
          <w:bCs/>
          <w:sz w:val="24"/>
          <w:szCs w:val="24"/>
          <w:u w:val="single"/>
        </w:rPr>
        <w:t>pe</w:t>
      </w:r>
      <w:proofErr w:type="spellEnd"/>
      <w:r w:rsidRPr="00984D9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84D90">
        <w:rPr>
          <w:rFonts w:ascii="Times New Roman" w:hAnsi="Times New Roman"/>
          <w:b/>
          <w:bCs/>
          <w:sz w:val="24"/>
          <w:szCs w:val="24"/>
          <w:u w:val="single"/>
        </w:rPr>
        <w:t>partea</w:t>
      </w:r>
      <w:proofErr w:type="spellEnd"/>
      <w:r w:rsidRPr="00984D9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84D90">
        <w:rPr>
          <w:rFonts w:ascii="Times New Roman" w:hAnsi="Times New Roman"/>
          <w:b/>
          <w:bCs/>
          <w:sz w:val="24"/>
          <w:szCs w:val="24"/>
          <w:u w:val="single"/>
        </w:rPr>
        <w:t>Republicii</w:t>
      </w:r>
      <w:proofErr w:type="spellEnd"/>
      <w:r w:rsidRPr="00984D90">
        <w:rPr>
          <w:rFonts w:ascii="Times New Roman" w:hAnsi="Times New Roman"/>
          <w:b/>
          <w:bCs/>
          <w:sz w:val="24"/>
          <w:szCs w:val="24"/>
          <w:u w:val="single"/>
        </w:rPr>
        <w:t xml:space="preserve"> Moldova (VMTG)</w:t>
      </w:r>
    </w:p>
    <w:p w14:paraId="73FBDC4D" w14:textId="77777777" w:rsidR="00D03388" w:rsidRPr="00D03388" w:rsidRDefault="00D03388" w:rsidP="00520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388">
        <w:rPr>
          <w:rFonts w:ascii="Times New Roman" w:hAnsi="Times New Roman"/>
          <w:sz w:val="24"/>
          <w:szCs w:val="24"/>
        </w:rPr>
        <w:t>Pentru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03388">
        <w:rPr>
          <w:rFonts w:ascii="Times New Roman" w:hAnsi="Times New Roman"/>
          <w:sz w:val="24"/>
          <w:szCs w:val="24"/>
        </w:rPr>
        <w:t>asigura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transportul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gazelor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naturale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pe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teritoriul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Republicii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Moldova, </w:t>
      </w:r>
      <w:proofErr w:type="spellStart"/>
      <w:r w:rsidRPr="00D03388">
        <w:rPr>
          <w:rFonts w:ascii="Times New Roman" w:hAnsi="Times New Roman"/>
          <w:sz w:val="24"/>
          <w:szCs w:val="24"/>
        </w:rPr>
        <w:t>sunt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necesare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realizarea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următoarele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investiții</w:t>
      </w:r>
      <w:proofErr w:type="spellEnd"/>
      <w:r w:rsidRPr="00D03388">
        <w:rPr>
          <w:rFonts w:ascii="Times New Roman" w:hAnsi="Times New Roman"/>
          <w:sz w:val="24"/>
          <w:szCs w:val="24"/>
        </w:rPr>
        <w:t>:</w:t>
      </w:r>
    </w:p>
    <w:p w14:paraId="203F62EC" w14:textId="0BF16BD7" w:rsidR="00D03388" w:rsidRPr="00D03388" w:rsidRDefault="00D03388" w:rsidP="0052053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388">
        <w:rPr>
          <w:rFonts w:ascii="Times New Roman" w:hAnsi="Times New Roman"/>
          <w:sz w:val="24"/>
          <w:szCs w:val="24"/>
        </w:rPr>
        <w:t>Reconstrucția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03388">
        <w:rPr>
          <w:rFonts w:ascii="Times New Roman" w:hAnsi="Times New Roman"/>
          <w:sz w:val="24"/>
          <w:szCs w:val="24"/>
        </w:rPr>
        <w:t>stației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SMG </w:t>
      </w:r>
      <w:proofErr w:type="spellStart"/>
      <w:r w:rsidRPr="00D03388">
        <w:rPr>
          <w:rFonts w:ascii="Times New Roman" w:hAnsi="Times New Roman"/>
          <w:sz w:val="24"/>
          <w:szCs w:val="24"/>
        </w:rPr>
        <w:t>Căușeni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pentru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03388">
        <w:rPr>
          <w:rFonts w:ascii="Times New Roman" w:hAnsi="Times New Roman"/>
          <w:sz w:val="24"/>
          <w:szCs w:val="24"/>
        </w:rPr>
        <w:t>asigura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funcționarea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în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regim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revers (</w:t>
      </w:r>
      <w:proofErr w:type="spellStart"/>
      <w:r w:rsidRPr="00D03388">
        <w:rPr>
          <w:rFonts w:ascii="Times New Roman" w:hAnsi="Times New Roman"/>
          <w:sz w:val="24"/>
          <w:szCs w:val="24"/>
        </w:rPr>
        <w:t>conducta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ATI);</w:t>
      </w:r>
    </w:p>
    <w:p w14:paraId="3AC2AF68" w14:textId="77777777" w:rsidR="00D03388" w:rsidRPr="00D03388" w:rsidRDefault="00D03388" w:rsidP="00EA55E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03388">
        <w:rPr>
          <w:rFonts w:ascii="Times New Roman" w:hAnsi="Times New Roman"/>
          <w:sz w:val="24"/>
          <w:szCs w:val="24"/>
        </w:rPr>
        <w:t>Construcția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conexiunii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conductei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magistrale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între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RI-SDKRI (SC </w:t>
      </w:r>
      <w:proofErr w:type="spellStart"/>
      <w:r w:rsidRPr="00D03388">
        <w:rPr>
          <w:rFonts w:ascii="Times New Roman" w:hAnsi="Times New Roman"/>
          <w:sz w:val="24"/>
          <w:szCs w:val="24"/>
        </w:rPr>
        <w:t>Vulcănești</w:t>
      </w:r>
      <w:proofErr w:type="spellEnd"/>
      <w:r w:rsidRPr="00D03388">
        <w:rPr>
          <w:rFonts w:ascii="Times New Roman" w:hAnsi="Times New Roman"/>
          <w:sz w:val="24"/>
          <w:szCs w:val="24"/>
        </w:rPr>
        <w:t>);</w:t>
      </w:r>
    </w:p>
    <w:p w14:paraId="59D0010C" w14:textId="3B3A667A" w:rsidR="00D03388" w:rsidRPr="00D03388" w:rsidRDefault="00D03388" w:rsidP="00EA55E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03388">
        <w:rPr>
          <w:rFonts w:ascii="Times New Roman" w:hAnsi="Times New Roman"/>
          <w:sz w:val="24"/>
          <w:szCs w:val="24"/>
        </w:rPr>
        <w:t>Construcția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conexiunii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conductei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magist</w:t>
      </w:r>
      <w:r w:rsidR="00984D90">
        <w:rPr>
          <w:rFonts w:ascii="Times New Roman" w:hAnsi="Times New Roman"/>
          <w:sz w:val="24"/>
          <w:szCs w:val="24"/>
        </w:rPr>
        <w:t>rale</w:t>
      </w:r>
      <w:proofErr w:type="spellEnd"/>
      <w:r w:rsidR="00984D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D90">
        <w:rPr>
          <w:rFonts w:ascii="Times New Roman" w:hAnsi="Times New Roman"/>
          <w:sz w:val="24"/>
          <w:szCs w:val="24"/>
        </w:rPr>
        <w:t>între</w:t>
      </w:r>
      <w:proofErr w:type="spellEnd"/>
      <w:r w:rsidR="00984D90">
        <w:rPr>
          <w:rFonts w:ascii="Times New Roman" w:hAnsi="Times New Roman"/>
          <w:sz w:val="24"/>
          <w:szCs w:val="24"/>
        </w:rPr>
        <w:t xml:space="preserve"> RI-SDKRI SMG </w:t>
      </w:r>
      <w:proofErr w:type="spellStart"/>
      <w:r w:rsidR="00984D90">
        <w:rPr>
          <w:rFonts w:ascii="Times New Roman" w:hAnsi="Times New Roman"/>
          <w:sz w:val="24"/>
          <w:szCs w:val="24"/>
        </w:rPr>
        <w:t>Căușeni</w:t>
      </w:r>
      <w:proofErr w:type="spellEnd"/>
      <w:r w:rsidRPr="00D03388">
        <w:rPr>
          <w:rFonts w:ascii="Times New Roman" w:hAnsi="Times New Roman"/>
          <w:sz w:val="24"/>
          <w:szCs w:val="24"/>
        </w:rPr>
        <w:t>).</w:t>
      </w:r>
    </w:p>
    <w:p w14:paraId="1BC50227" w14:textId="77777777" w:rsidR="00D03388" w:rsidRPr="00D03388" w:rsidRDefault="00D03388" w:rsidP="00EA55E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03388">
        <w:rPr>
          <w:rFonts w:ascii="Times New Roman" w:hAnsi="Times New Roman"/>
          <w:sz w:val="24"/>
          <w:szCs w:val="24"/>
          <w:u w:val="single"/>
        </w:rPr>
        <w:t>Punere</w:t>
      </w:r>
      <w:proofErr w:type="spellEnd"/>
      <w:r w:rsidRPr="00D0338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  <w:u w:val="single"/>
        </w:rPr>
        <w:t>în</w:t>
      </w:r>
      <w:proofErr w:type="spellEnd"/>
      <w:r w:rsidRPr="00D0338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  <w:u w:val="single"/>
        </w:rPr>
        <w:t>funcțiune</w:t>
      </w:r>
      <w:proofErr w:type="spellEnd"/>
      <w:r w:rsidRPr="00D0338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  <w:u w:val="single"/>
        </w:rPr>
        <w:t>estimată</w:t>
      </w:r>
      <w:proofErr w:type="spellEnd"/>
      <w:r w:rsidRPr="00D03388"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 w:rsidRPr="00D03388">
        <w:rPr>
          <w:rFonts w:ascii="Times New Roman" w:hAnsi="Times New Roman"/>
          <w:sz w:val="24"/>
          <w:szCs w:val="24"/>
        </w:rPr>
        <w:t>Trimestrul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3/2026 .</w:t>
      </w:r>
    </w:p>
    <w:p w14:paraId="6FF04F02" w14:textId="52B9DB1A" w:rsidR="00D03388" w:rsidRPr="00D03388" w:rsidRDefault="00D03388" w:rsidP="00EA55E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D03388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 xml:space="preserve">Cost </w:t>
      </w:r>
      <w:proofErr w:type="spellStart"/>
      <w:r w:rsidRPr="00D03388">
        <w:rPr>
          <w:rFonts w:ascii="Times New Roman" w:hAnsi="Times New Roman"/>
          <w:color w:val="000000"/>
          <w:sz w:val="24"/>
          <w:szCs w:val="24"/>
          <w:u w:val="single"/>
        </w:rPr>
        <w:t>estimativ</w:t>
      </w:r>
      <w:proofErr w:type="spellEnd"/>
      <w:r w:rsidRPr="00D03388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r w:rsidRPr="00D03388">
        <w:rPr>
          <w:rFonts w:ascii="Times New Roman" w:hAnsi="Times New Roman"/>
          <w:sz w:val="24"/>
          <w:szCs w:val="24"/>
        </w:rPr>
        <w:t>2 377 240 EUR.</w:t>
      </w:r>
    </w:p>
    <w:p w14:paraId="7113EC72" w14:textId="77777777" w:rsidR="00D03388" w:rsidRPr="00D03388" w:rsidRDefault="00D03388" w:rsidP="00EA55E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388">
        <w:rPr>
          <w:rFonts w:ascii="Times New Roman" w:hAnsi="Times New Roman"/>
          <w:color w:val="000000"/>
          <w:sz w:val="24"/>
          <w:szCs w:val="24"/>
          <w:u w:val="single"/>
        </w:rPr>
        <w:t>Precizia</w:t>
      </w:r>
      <w:proofErr w:type="spellEnd"/>
      <w:r w:rsidRPr="00D0338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D03388">
        <w:rPr>
          <w:rFonts w:ascii="Times New Roman" w:hAnsi="Times New Roman"/>
          <w:color w:val="000000"/>
          <w:sz w:val="24"/>
          <w:szCs w:val="24"/>
          <w:u w:val="single"/>
        </w:rPr>
        <w:t>estimării</w:t>
      </w:r>
      <w:proofErr w:type="spellEnd"/>
      <w:r w:rsidRPr="00D0338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D03388">
        <w:rPr>
          <w:rFonts w:ascii="Times New Roman" w:hAnsi="Times New Roman"/>
          <w:color w:val="000000"/>
          <w:sz w:val="24"/>
          <w:szCs w:val="24"/>
          <w:u w:val="single"/>
        </w:rPr>
        <w:t>costurilor</w:t>
      </w:r>
      <w:proofErr w:type="spellEnd"/>
      <w:r w:rsidRPr="00D03388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r w:rsidRPr="00D03388">
        <w:rPr>
          <w:rFonts w:ascii="Times New Roman" w:hAnsi="Times New Roman"/>
          <w:sz w:val="24"/>
          <w:szCs w:val="24"/>
        </w:rPr>
        <w:t>± 20%.</w:t>
      </w:r>
    </w:p>
    <w:p w14:paraId="701B6A6E" w14:textId="77777777" w:rsidR="00D03388" w:rsidRPr="00D03388" w:rsidRDefault="00D03388" w:rsidP="00EA5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C6E975" w14:textId="23219366" w:rsidR="00984D90" w:rsidRPr="00984D90" w:rsidRDefault="00D03388" w:rsidP="005205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984D90">
        <w:rPr>
          <w:rFonts w:ascii="Times New Roman" w:hAnsi="Times New Roman"/>
          <w:b/>
          <w:sz w:val="24"/>
          <w:szCs w:val="24"/>
          <w:u w:val="single"/>
        </w:rPr>
        <w:t>Preț</w:t>
      </w:r>
      <w:r w:rsidR="00984D90" w:rsidRPr="00984D90">
        <w:rPr>
          <w:rFonts w:ascii="Times New Roman" w:hAnsi="Times New Roman"/>
          <w:b/>
          <w:sz w:val="24"/>
          <w:szCs w:val="24"/>
          <w:u w:val="single"/>
        </w:rPr>
        <w:t>ul</w:t>
      </w:r>
      <w:proofErr w:type="spellEnd"/>
      <w:r w:rsidRPr="00984D90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proofErr w:type="spellStart"/>
      <w:r w:rsidRPr="00984D90">
        <w:rPr>
          <w:rFonts w:ascii="Times New Roman" w:hAnsi="Times New Roman"/>
          <w:b/>
          <w:sz w:val="24"/>
          <w:szCs w:val="24"/>
          <w:u w:val="single"/>
        </w:rPr>
        <w:t>referință</w:t>
      </w:r>
      <w:proofErr w:type="spellEnd"/>
      <w:r w:rsidRPr="00984D9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84D90">
        <w:rPr>
          <w:rFonts w:ascii="Times New Roman" w:hAnsi="Times New Roman"/>
          <w:b/>
          <w:sz w:val="24"/>
          <w:szCs w:val="24"/>
          <w:u w:val="single"/>
        </w:rPr>
        <w:t>pentru</w:t>
      </w:r>
      <w:proofErr w:type="spellEnd"/>
      <w:r w:rsidRPr="00984D9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84D90">
        <w:rPr>
          <w:rFonts w:ascii="Times New Roman" w:hAnsi="Times New Roman"/>
          <w:b/>
          <w:sz w:val="24"/>
          <w:szCs w:val="24"/>
          <w:u w:val="single"/>
        </w:rPr>
        <w:t>determinarea</w:t>
      </w:r>
      <w:proofErr w:type="spellEnd"/>
      <w:r w:rsidRPr="00984D9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84D90">
        <w:rPr>
          <w:rFonts w:ascii="Times New Roman" w:hAnsi="Times New Roman"/>
          <w:b/>
          <w:sz w:val="24"/>
          <w:szCs w:val="24"/>
          <w:u w:val="single"/>
        </w:rPr>
        <w:t>valorii</w:t>
      </w:r>
      <w:proofErr w:type="spellEnd"/>
      <w:r w:rsidRPr="00984D9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84D90">
        <w:rPr>
          <w:rFonts w:ascii="Times New Roman" w:hAnsi="Times New Roman"/>
          <w:b/>
          <w:sz w:val="24"/>
          <w:szCs w:val="24"/>
          <w:u w:val="single"/>
        </w:rPr>
        <w:t>actuale</w:t>
      </w:r>
      <w:proofErr w:type="spellEnd"/>
      <w:r w:rsidRPr="00984D90">
        <w:rPr>
          <w:rFonts w:ascii="Times New Roman" w:hAnsi="Times New Roman"/>
          <w:b/>
          <w:sz w:val="24"/>
          <w:szCs w:val="24"/>
          <w:u w:val="single"/>
        </w:rPr>
        <w:t xml:space="preserve"> a </w:t>
      </w:r>
      <w:proofErr w:type="spellStart"/>
      <w:r w:rsidRPr="00984D90">
        <w:rPr>
          <w:rFonts w:ascii="Times New Roman" w:hAnsi="Times New Roman"/>
          <w:b/>
          <w:sz w:val="24"/>
          <w:szCs w:val="24"/>
          <w:u w:val="single"/>
        </w:rPr>
        <w:t>angajamentelor</w:t>
      </w:r>
      <w:proofErr w:type="spellEnd"/>
      <w:r w:rsidRPr="00984D9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84D90">
        <w:rPr>
          <w:rFonts w:ascii="Times New Roman" w:hAnsi="Times New Roman"/>
          <w:b/>
          <w:sz w:val="24"/>
          <w:szCs w:val="24"/>
          <w:u w:val="single"/>
        </w:rPr>
        <w:t>obligatorii</w:t>
      </w:r>
      <w:proofErr w:type="spellEnd"/>
      <w:r w:rsidRPr="00984D90">
        <w:rPr>
          <w:rFonts w:ascii="Times New Roman" w:hAnsi="Times New Roman"/>
          <w:b/>
          <w:sz w:val="24"/>
          <w:szCs w:val="24"/>
          <w:u w:val="single"/>
        </w:rPr>
        <w:t xml:space="preserve"> ale </w:t>
      </w:r>
      <w:proofErr w:type="spellStart"/>
      <w:r w:rsidRPr="00984D90">
        <w:rPr>
          <w:rFonts w:ascii="Times New Roman" w:hAnsi="Times New Roman"/>
          <w:b/>
          <w:sz w:val="24"/>
          <w:szCs w:val="24"/>
          <w:u w:val="single"/>
        </w:rPr>
        <w:t>utilizatorilor</w:t>
      </w:r>
      <w:proofErr w:type="spellEnd"/>
      <w:r w:rsidRPr="00984D90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proofErr w:type="spellStart"/>
      <w:r w:rsidRPr="00984D90">
        <w:rPr>
          <w:rFonts w:ascii="Times New Roman" w:hAnsi="Times New Roman"/>
          <w:b/>
          <w:sz w:val="24"/>
          <w:szCs w:val="24"/>
          <w:u w:val="single"/>
        </w:rPr>
        <w:t>sistem</w:t>
      </w:r>
      <w:proofErr w:type="spellEnd"/>
      <w:r w:rsidRPr="00984D90">
        <w:rPr>
          <w:rFonts w:ascii="Times New Roman" w:hAnsi="Times New Roman"/>
          <w:b/>
          <w:sz w:val="24"/>
          <w:szCs w:val="24"/>
          <w:u w:val="single"/>
        </w:rPr>
        <w:t xml:space="preserve"> – VMTG</w:t>
      </w:r>
    </w:p>
    <w:p w14:paraId="2BFACC24" w14:textId="175B425F" w:rsidR="00D03388" w:rsidRPr="00984D90" w:rsidRDefault="00D03388" w:rsidP="005205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984D90">
        <w:rPr>
          <w:rFonts w:ascii="Times New Roman" w:hAnsi="Times New Roman"/>
          <w:sz w:val="24"/>
          <w:szCs w:val="24"/>
        </w:rPr>
        <w:t>Testul</w:t>
      </w:r>
      <w:proofErr w:type="spellEnd"/>
      <w:r w:rsidRPr="00984D90">
        <w:rPr>
          <w:rFonts w:ascii="Times New Roman" w:hAnsi="Times New Roman"/>
          <w:sz w:val="24"/>
          <w:szCs w:val="24"/>
        </w:rPr>
        <w:t xml:space="preserve"> economic </w:t>
      </w:r>
      <w:proofErr w:type="spellStart"/>
      <w:r w:rsidRPr="00984D90">
        <w:rPr>
          <w:rFonts w:ascii="Times New Roman" w:hAnsi="Times New Roman"/>
          <w:sz w:val="24"/>
          <w:szCs w:val="24"/>
        </w:rPr>
        <w:t>va</w:t>
      </w:r>
      <w:proofErr w:type="spellEnd"/>
      <w:r w:rsidRPr="00984D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D90">
        <w:rPr>
          <w:rFonts w:ascii="Times New Roman" w:hAnsi="Times New Roman"/>
          <w:sz w:val="24"/>
          <w:szCs w:val="24"/>
        </w:rPr>
        <w:t>folosi</w:t>
      </w:r>
      <w:proofErr w:type="spellEnd"/>
      <w:r w:rsidRPr="00984D90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984D90">
        <w:rPr>
          <w:rFonts w:ascii="Times New Roman" w:hAnsi="Times New Roman"/>
          <w:sz w:val="24"/>
          <w:szCs w:val="24"/>
        </w:rPr>
        <w:t>preț</w:t>
      </w:r>
      <w:proofErr w:type="spellEnd"/>
      <w:r w:rsidRPr="00984D9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84D90">
        <w:rPr>
          <w:rFonts w:ascii="Times New Roman" w:hAnsi="Times New Roman"/>
          <w:sz w:val="24"/>
          <w:szCs w:val="24"/>
        </w:rPr>
        <w:t>referință</w:t>
      </w:r>
      <w:proofErr w:type="spellEnd"/>
      <w:r w:rsidRPr="00984D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D90">
        <w:rPr>
          <w:rFonts w:ascii="Times New Roman" w:hAnsi="Times New Roman"/>
          <w:sz w:val="24"/>
          <w:szCs w:val="24"/>
        </w:rPr>
        <w:t>tariful</w:t>
      </w:r>
      <w:proofErr w:type="spellEnd"/>
      <w:r w:rsidRPr="00984D90">
        <w:rPr>
          <w:rFonts w:ascii="Times New Roman" w:hAnsi="Times New Roman"/>
          <w:sz w:val="24"/>
          <w:szCs w:val="24"/>
        </w:rPr>
        <w:t xml:space="preserve"> actual </w:t>
      </w:r>
      <w:proofErr w:type="spellStart"/>
      <w:r w:rsidRPr="00984D90">
        <w:rPr>
          <w:rFonts w:ascii="Times New Roman" w:hAnsi="Times New Roman"/>
          <w:sz w:val="24"/>
          <w:szCs w:val="24"/>
        </w:rPr>
        <w:t>pentru</w:t>
      </w:r>
      <w:proofErr w:type="spellEnd"/>
      <w:r w:rsidRPr="00984D90">
        <w:rPr>
          <w:rFonts w:ascii="Times New Roman" w:hAnsi="Times New Roman"/>
          <w:sz w:val="24"/>
          <w:szCs w:val="24"/>
        </w:rPr>
        <w:t xml:space="preserve"> PI </w:t>
      </w:r>
      <w:proofErr w:type="spellStart"/>
      <w:r w:rsidRPr="00984D90">
        <w:rPr>
          <w:rFonts w:ascii="Times New Roman" w:hAnsi="Times New Roman"/>
          <w:sz w:val="24"/>
          <w:szCs w:val="24"/>
        </w:rPr>
        <w:t>Caușeni</w:t>
      </w:r>
      <w:proofErr w:type="spellEnd"/>
      <w:r w:rsidRPr="00984D9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84D90">
        <w:rPr>
          <w:rFonts w:ascii="Times New Roman" w:hAnsi="Times New Roman"/>
          <w:sz w:val="24"/>
          <w:szCs w:val="24"/>
        </w:rPr>
        <w:t>intrare</w:t>
      </w:r>
      <w:proofErr w:type="spellEnd"/>
      <w:r w:rsidRPr="00984D9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84D90">
        <w:rPr>
          <w:rFonts w:ascii="Times New Roman" w:hAnsi="Times New Roman"/>
          <w:sz w:val="24"/>
          <w:szCs w:val="24"/>
        </w:rPr>
        <w:t>și</w:t>
      </w:r>
      <w:proofErr w:type="spellEnd"/>
      <w:r w:rsidRPr="00984D90">
        <w:rPr>
          <w:rFonts w:ascii="Times New Roman" w:hAnsi="Times New Roman"/>
          <w:sz w:val="24"/>
          <w:szCs w:val="24"/>
        </w:rPr>
        <w:t xml:space="preserve"> PI </w:t>
      </w:r>
      <w:proofErr w:type="spellStart"/>
      <w:r w:rsidRPr="00984D90">
        <w:rPr>
          <w:rFonts w:ascii="Times New Roman" w:hAnsi="Times New Roman"/>
          <w:sz w:val="24"/>
          <w:szCs w:val="24"/>
        </w:rPr>
        <w:t>Grebeniki</w:t>
      </w:r>
      <w:proofErr w:type="spellEnd"/>
      <w:r w:rsidRPr="00984D9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84D90">
        <w:rPr>
          <w:rFonts w:ascii="Times New Roman" w:hAnsi="Times New Roman"/>
          <w:sz w:val="24"/>
          <w:szCs w:val="24"/>
        </w:rPr>
        <w:t>ieșire</w:t>
      </w:r>
      <w:proofErr w:type="spellEnd"/>
      <w:r w:rsidRPr="00984D90">
        <w:rPr>
          <w:rFonts w:ascii="Times New Roman" w:hAnsi="Times New Roman"/>
          <w:sz w:val="24"/>
          <w:szCs w:val="24"/>
        </w:rPr>
        <w:t>).</w:t>
      </w:r>
    </w:p>
    <w:p w14:paraId="4F764530" w14:textId="418A29E4" w:rsidR="00D03388" w:rsidRPr="00D03388" w:rsidRDefault="00D03388" w:rsidP="00EA5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4D90">
        <w:rPr>
          <w:rFonts w:ascii="Times New Roman" w:hAnsi="Times New Roman"/>
          <w:b/>
          <w:sz w:val="24"/>
          <w:szCs w:val="24"/>
        </w:rPr>
        <w:t>Prețul</w:t>
      </w:r>
      <w:proofErr w:type="spellEnd"/>
      <w:r w:rsidRPr="00984D90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984D90">
        <w:rPr>
          <w:rFonts w:ascii="Times New Roman" w:hAnsi="Times New Roman"/>
          <w:b/>
          <w:sz w:val="24"/>
          <w:szCs w:val="24"/>
        </w:rPr>
        <w:t>referință</w:t>
      </w:r>
      <w:proofErr w:type="spellEnd"/>
      <w:r w:rsidRPr="00984D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84D90">
        <w:rPr>
          <w:rFonts w:ascii="Times New Roman" w:hAnsi="Times New Roman"/>
          <w:sz w:val="24"/>
          <w:szCs w:val="24"/>
        </w:rPr>
        <w:t>pentru</w:t>
      </w:r>
      <w:proofErr w:type="spellEnd"/>
      <w:r w:rsidRPr="00984D90">
        <w:rPr>
          <w:rFonts w:ascii="Times New Roman" w:hAnsi="Times New Roman"/>
          <w:sz w:val="24"/>
          <w:szCs w:val="24"/>
        </w:rPr>
        <w:t xml:space="preserve"> PI</w:t>
      </w:r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pentru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ieșire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este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de </w:t>
      </w:r>
      <w:r w:rsidRPr="00984D90">
        <w:rPr>
          <w:rFonts w:ascii="Times New Roman" w:hAnsi="Times New Roman"/>
          <w:b/>
          <w:sz w:val="24"/>
          <w:szCs w:val="24"/>
        </w:rPr>
        <w:t>22,3 MDL/MWh/</w:t>
      </w:r>
      <w:r w:rsidR="00AE251A">
        <w:rPr>
          <w:rFonts w:ascii="Times New Roman" w:hAnsi="Times New Roman"/>
          <w:b/>
          <w:sz w:val="24"/>
          <w:szCs w:val="24"/>
        </w:rPr>
        <w:t>h</w:t>
      </w:r>
      <w:r w:rsidRPr="00D03388">
        <w:rPr>
          <w:rFonts w:ascii="Times New Roman" w:hAnsi="Times New Roman"/>
          <w:sz w:val="24"/>
          <w:szCs w:val="24"/>
        </w:rPr>
        <w:t xml:space="preserve"> (1,1554 EUR/MWh/</w:t>
      </w:r>
      <w:r w:rsidR="00AE251A">
        <w:rPr>
          <w:rFonts w:ascii="Times New Roman" w:hAnsi="Times New Roman"/>
          <w:sz w:val="24"/>
          <w:szCs w:val="24"/>
        </w:rPr>
        <w:t>h</w:t>
      </w:r>
      <w:r w:rsidRPr="00D03388">
        <w:rPr>
          <w:rFonts w:ascii="Times New Roman" w:hAnsi="Times New Roman"/>
          <w:sz w:val="24"/>
          <w:szCs w:val="24"/>
        </w:rPr>
        <w:t>).</w:t>
      </w:r>
    </w:p>
    <w:p w14:paraId="0749208D" w14:textId="03D40850" w:rsidR="00D03388" w:rsidRPr="00D03388" w:rsidRDefault="00D03388" w:rsidP="00EA5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4D90">
        <w:rPr>
          <w:rFonts w:ascii="Times New Roman" w:hAnsi="Times New Roman"/>
          <w:b/>
          <w:sz w:val="24"/>
          <w:szCs w:val="24"/>
        </w:rPr>
        <w:t>Prețul</w:t>
      </w:r>
      <w:proofErr w:type="spellEnd"/>
      <w:r w:rsidRPr="00984D90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984D90">
        <w:rPr>
          <w:rFonts w:ascii="Times New Roman" w:hAnsi="Times New Roman"/>
          <w:b/>
          <w:sz w:val="24"/>
          <w:szCs w:val="24"/>
        </w:rPr>
        <w:t>referință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pentru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PI </w:t>
      </w:r>
      <w:proofErr w:type="spellStart"/>
      <w:r w:rsidRPr="00D03388">
        <w:rPr>
          <w:rFonts w:ascii="Times New Roman" w:hAnsi="Times New Roman"/>
          <w:sz w:val="24"/>
          <w:szCs w:val="24"/>
        </w:rPr>
        <w:t>pentru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intrare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este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de </w:t>
      </w:r>
      <w:r w:rsidRPr="00984D90">
        <w:rPr>
          <w:rFonts w:ascii="Times New Roman" w:hAnsi="Times New Roman"/>
          <w:b/>
          <w:sz w:val="24"/>
          <w:szCs w:val="24"/>
        </w:rPr>
        <w:t>20,9 MDL/MWh/</w:t>
      </w:r>
      <w:r w:rsidR="00AE251A">
        <w:rPr>
          <w:rFonts w:ascii="Times New Roman" w:hAnsi="Times New Roman"/>
          <w:b/>
          <w:sz w:val="24"/>
          <w:szCs w:val="24"/>
        </w:rPr>
        <w:t>h</w:t>
      </w:r>
      <w:r w:rsidRPr="00D03388">
        <w:rPr>
          <w:rFonts w:ascii="Times New Roman" w:hAnsi="Times New Roman"/>
          <w:sz w:val="24"/>
          <w:szCs w:val="24"/>
        </w:rPr>
        <w:t xml:space="preserve"> (1,0829 EUR/MWh/</w:t>
      </w:r>
      <w:r w:rsidR="00AE251A">
        <w:rPr>
          <w:rFonts w:ascii="Times New Roman" w:hAnsi="Times New Roman"/>
          <w:sz w:val="24"/>
          <w:szCs w:val="24"/>
        </w:rPr>
        <w:t>h</w:t>
      </w:r>
      <w:r w:rsidRPr="00D03388">
        <w:rPr>
          <w:rFonts w:ascii="Times New Roman" w:hAnsi="Times New Roman"/>
          <w:sz w:val="24"/>
          <w:szCs w:val="24"/>
        </w:rPr>
        <w:t>).</w:t>
      </w:r>
    </w:p>
    <w:p w14:paraId="1B727A19" w14:textId="77777777" w:rsidR="00D03388" w:rsidRPr="00D03388" w:rsidRDefault="00D03388" w:rsidP="00EA5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C2BF64" w14:textId="77777777" w:rsidR="00D03388" w:rsidRPr="00984D90" w:rsidRDefault="00D03388" w:rsidP="005205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984D90">
        <w:rPr>
          <w:rFonts w:ascii="Times New Roman" w:hAnsi="Times New Roman"/>
          <w:b/>
          <w:sz w:val="24"/>
          <w:szCs w:val="24"/>
          <w:u w:val="single"/>
        </w:rPr>
        <w:t>Valoarea</w:t>
      </w:r>
      <w:proofErr w:type="spellEnd"/>
      <w:r w:rsidRPr="00984D9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84D90">
        <w:rPr>
          <w:rFonts w:ascii="Times New Roman" w:hAnsi="Times New Roman"/>
          <w:b/>
          <w:sz w:val="24"/>
          <w:szCs w:val="24"/>
          <w:u w:val="single"/>
        </w:rPr>
        <w:t>actuală</w:t>
      </w:r>
      <w:proofErr w:type="spellEnd"/>
      <w:r w:rsidRPr="00984D90">
        <w:rPr>
          <w:rFonts w:ascii="Times New Roman" w:hAnsi="Times New Roman"/>
          <w:b/>
          <w:sz w:val="24"/>
          <w:szCs w:val="24"/>
          <w:u w:val="single"/>
        </w:rPr>
        <w:t xml:space="preserve"> a </w:t>
      </w:r>
      <w:proofErr w:type="spellStart"/>
      <w:r w:rsidRPr="00984D90">
        <w:rPr>
          <w:rFonts w:ascii="Times New Roman" w:hAnsi="Times New Roman"/>
          <w:b/>
          <w:sz w:val="24"/>
          <w:szCs w:val="24"/>
          <w:u w:val="single"/>
        </w:rPr>
        <w:t>creșterii</w:t>
      </w:r>
      <w:proofErr w:type="spellEnd"/>
      <w:r w:rsidRPr="00984D90">
        <w:rPr>
          <w:rFonts w:ascii="Times New Roman" w:hAnsi="Times New Roman"/>
          <w:b/>
          <w:sz w:val="24"/>
          <w:szCs w:val="24"/>
          <w:u w:val="single"/>
        </w:rPr>
        <w:t xml:space="preserve"> estimate a </w:t>
      </w:r>
      <w:proofErr w:type="spellStart"/>
      <w:r w:rsidRPr="00984D90">
        <w:rPr>
          <w:rFonts w:ascii="Times New Roman" w:hAnsi="Times New Roman"/>
          <w:b/>
          <w:sz w:val="24"/>
          <w:szCs w:val="24"/>
          <w:u w:val="single"/>
        </w:rPr>
        <w:t>veniturilor</w:t>
      </w:r>
      <w:proofErr w:type="spellEnd"/>
      <w:r w:rsidRPr="00984D9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84D90">
        <w:rPr>
          <w:rFonts w:ascii="Times New Roman" w:hAnsi="Times New Roman"/>
          <w:b/>
          <w:sz w:val="24"/>
          <w:szCs w:val="24"/>
          <w:u w:val="single"/>
        </w:rPr>
        <w:t>permise</w:t>
      </w:r>
      <w:proofErr w:type="spellEnd"/>
      <w:r w:rsidRPr="00984D90">
        <w:rPr>
          <w:rFonts w:ascii="Times New Roman" w:hAnsi="Times New Roman"/>
          <w:b/>
          <w:sz w:val="24"/>
          <w:szCs w:val="24"/>
          <w:u w:val="single"/>
        </w:rPr>
        <w:t xml:space="preserve"> ca </w:t>
      </w:r>
      <w:proofErr w:type="spellStart"/>
      <w:r w:rsidRPr="00984D90">
        <w:rPr>
          <w:rFonts w:ascii="Times New Roman" w:hAnsi="Times New Roman"/>
          <w:b/>
          <w:sz w:val="24"/>
          <w:szCs w:val="24"/>
          <w:u w:val="single"/>
        </w:rPr>
        <w:t>urmare</w:t>
      </w:r>
      <w:proofErr w:type="spellEnd"/>
      <w:r w:rsidRPr="00984D90">
        <w:rPr>
          <w:rFonts w:ascii="Times New Roman" w:hAnsi="Times New Roman"/>
          <w:b/>
          <w:sz w:val="24"/>
          <w:szCs w:val="24"/>
          <w:u w:val="single"/>
        </w:rPr>
        <w:t xml:space="preserve"> a </w:t>
      </w:r>
      <w:proofErr w:type="spellStart"/>
      <w:r w:rsidRPr="00984D90">
        <w:rPr>
          <w:rFonts w:ascii="Times New Roman" w:hAnsi="Times New Roman"/>
          <w:b/>
          <w:sz w:val="24"/>
          <w:szCs w:val="24"/>
          <w:u w:val="single"/>
        </w:rPr>
        <w:t>creșterii</w:t>
      </w:r>
      <w:proofErr w:type="spellEnd"/>
      <w:r w:rsidRPr="00984D9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84D90">
        <w:rPr>
          <w:rFonts w:ascii="Times New Roman" w:hAnsi="Times New Roman"/>
          <w:b/>
          <w:sz w:val="24"/>
          <w:szCs w:val="24"/>
          <w:u w:val="single"/>
        </w:rPr>
        <w:t>capacității</w:t>
      </w:r>
      <w:proofErr w:type="spellEnd"/>
      <w:r w:rsidRPr="00984D90">
        <w:rPr>
          <w:rFonts w:ascii="Times New Roman" w:hAnsi="Times New Roman"/>
          <w:b/>
          <w:sz w:val="24"/>
          <w:szCs w:val="24"/>
          <w:u w:val="single"/>
        </w:rPr>
        <w:t xml:space="preserve"> – VMTG</w:t>
      </w:r>
    </w:p>
    <w:p w14:paraId="6D6F0F26" w14:textId="6EE316C2" w:rsidR="00D03388" w:rsidRPr="00D03388" w:rsidRDefault="00D03388" w:rsidP="00520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388">
        <w:rPr>
          <w:rFonts w:ascii="Times New Roman" w:hAnsi="Times New Roman"/>
          <w:sz w:val="24"/>
          <w:szCs w:val="24"/>
        </w:rPr>
        <w:t>Potrivit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pct. 253, </w:t>
      </w:r>
      <w:proofErr w:type="spellStart"/>
      <w:r w:rsidRPr="00D03388">
        <w:rPr>
          <w:rFonts w:ascii="Times New Roman" w:hAnsi="Times New Roman"/>
          <w:sz w:val="24"/>
          <w:szCs w:val="24"/>
        </w:rPr>
        <w:t>Secțiunea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2 din </w:t>
      </w:r>
      <w:proofErr w:type="spellStart"/>
      <w:r w:rsidRPr="00D03388">
        <w:rPr>
          <w:rFonts w:ascii="Times New Roman" w:hAnsi="Times New Roman"/>
          <w:sz w:val="24"/>
          <w:szCs w:val="24"/>
        </w:rPr>
        <w:t>Hotărârea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ANRE </w:t>
      </w:r>
      <w:proofErr w:type="spellStart"/>
      <w:r w:rsidRPr="00D03388">
        <w:rPr>
          <w:rFonts w:ascii="Times New Roman" w:hAnsi="Times New Roman"/>
          <w:sz w:val="24"/>
          <w:szCs w:val="24"/>
        </w:rPr>
        <w:t>nr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. 420/2019, </w:t>
      </w:r>
      <w:proofErr w:type="spellStart"/>
      <w:r w:rsidRPr="00D03388">
        <w:rPr>
          <w:rFonts w:ascii="Times New Roman" w:hAnsi="Times New Roman"/>
          <w:sz w:val="24"/>
          <w:szCs w:val="24"/>
        </w:rPr>
        <w:t>în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cazul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în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D03388">
        <w:rPr>
          <w:rFonts w:ascii="Times New Roman" w:hAnsi="Times New Roman"/>
          <w:sz w:val="24"/>
          <w:szCs w:val="24"/>
        </w:rPr>
        <w:t>testul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economic </w:t>
      </w:r>
      <w:proofErr w:type="spellStart"/>
      <w:r w:rsidRPr="00D03388">
        <w:rPr>
          <w:rFonts w:ascii="Times New Roman" w:hAnsi="Times New Roman"/>
          <w:sz w:val="24"/>
          <w:szCs w:val="24"/>
        </w:rPr>
        <w:t>dă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D03388">
        <w:rPr>
          <w:rFonts w:ascii="Times New Roman" w:hAnsi="Times New Roman"/>
          <w:sz w:val="24"/>
          <w:szCs w:val="24"/>
        </w:rPr>
        <w:t>rezultat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pozitiv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3388">
        <w:rPr>
          <w:rFonts w:ascii="Times New Roman" w:hAnsi="Times New Roman"/>
          <w:sz w:val="24"/>
          <w:szCs w:val="24"/>
        </w:rPr>
        <w:t>costurile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03388">
        <w:rPr>
          <w:rFonts w:ascii="Times New Roman" w:hAnsi="Times New Roman"/>
          <w:sz w:val="24"/>
          <w:szCs w:val="24"/>
        </w:rPr>
        <w:t>investiții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asociate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capacității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incrementale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D03388">
        <w:rPr>
          <w:rFonts w:ascii="Times New Roman" w:hAnsi="Times New Roman"/>
          <w:sz w:val="24"/>
          <w:szCs w:val="24"/>
        </w:rPr>
        <w:t>reflectă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D90">
        <w:rPr>
          <w:rFonts w:ascii="Times New Roman" w:hAnsi="Times New Roman"/>
          <w:sz w:val="24"/>
          <w:szCs w:val="24"/>
        </w:rPr>
        <w:t>prin</w:t>
      </w:r>
      <w:proofErr w:type="spellEnd"/>
      <w:r w:rsidR="00984D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D90">
        <w:rPr>
          <w:rFonts w:ascii="Times New Roman" w:hAnsi="Times New Roman"/>
          <w:sz w:val="24"/>
          <w:szCs w:val="24"/>
        </w:rPr>
        <w:t>creștere</w:t>
      </w:r>
      <w:r w:rsidRPr="00D03388">
        <w:rPr>
          <w:rFonts w:ascii="Times New Roman" w:hAnsi="Times New Roman"/>
          <w:sz w:val="24"/>
          <w:szCs w:val="24"/>
        </w:rPr>
        <w:t>a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venitului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reglementat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sau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03388">
        <w:rPr>
          <w:rFonts w:ascii="Times New Roman" w:hAnsi="Times New Roman"/>
          <w:sz w:val="24"/>
          <w:szCs w:val="24"/>
        </w:rPr>
        <w:t>venitului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țintă</w:t>
      </w:r>
      <w:proofErr w:type="spellEnd"/>
      <w:r w:rsidRPr="00D03388">
        <w:rPr>
          <w:rFonts w:ascii="Times New Roman" w:hAnsi="Times New Roman"/>
          <w:sz w:val="24"/>
          <w:szCs w:val="24"/>
        </w:rPr>
        <w:t>.</w:t>
      </w:r>
    </w:p>
    <w:p w14:paraId="58A50457" w14:textId="777E3215" w:rsidR="00D03388" w:rsidRPr="00D03388" w:rsidRDefault="00984D90" w:rsidP="00520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Avînd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proiect</w:t>
      </w:r>
      <w:r>
        <w:rPr>
          <w:rFonts w:ascii="Times New Roman" w:hAnsi="Times New Roman"/>
          <w:sz w:val="24"/>
          <w:szCs w:val="24"/>
        </w:rPr>
        <w:t>ul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</w:t>
      </w:r>
      <w:r w:rsidR="00520539">
        <w:rPr>
          <w:rFonts w:ascii="Times New Roman" w:hAnsi="Times New Roman"/>
          <w:sz w:val="24"/>
          <w:szCs w:val="24"/>
        </w:rPr>
        <w:t>de</w:t>
      </w:r>
      <w:r w:rsidR="00AE251A">
        <w:rPr>
          <w:rFonts w:ascii="Times New Roman" w:hAnsi="Times New Roman"/>
          <w:sz w:val="24"/>
          <w:szCs w:val="24"/>
        </w:rPr>
        <w:t xml:space="preserve"> capacitate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incremental</w:t>
      </w:r>
      <w:r w:rsidR="00AE251A">
        <w:rPr>
          <w:rFonts w:ascii="Times New Roman" w:hAnsi="Times New Roman"/>
          <w:sz w:val="24"/>
          <w:szCs w:val="24"/>
        </w:rPr>
        <w:t>ă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unul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bazat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doar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pe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piață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și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prin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urmare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costul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total al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proiectului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urmează</w:t>
      </w:r>
      <w:proofErr w:type="spellEnd"/>
      <w:r>
        <w:rPr>
          <w:rFonts w:ascii="Times New Roman" w:hAnsi="Times New Roman"/>
          <w:sz w:val="24"/>
          <w:szCs w:val="24"/>
        </w:rPr>
        <w:t xml:space="preserve"> a fi</w:t>
      </w:r>
      <w:r w:rsidR="00D03388"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acoperit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rezervările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de capacitate din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cadrul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citației</w:t>
      </w:r>
      <w:proofErr w:type="spellEnd"/>
      <w:r>
        <w:rPr>
          <w:rFonts w:ascii="Times New Roman" w:hAnsi="Times New Roman"/>
          <w:sz w:val="24"/>
          <w:szCs w:val="24"/>
        </w:rPr>
        <w:t xml:space="preserve"> de capacitate </w:t>
      </w:r>
      <w:proofErr w:type="spellStart"/>
      <w:r>
        <w:rPr>
          <w:rFonts w:ascii="Times New Roman" w:hAnsi="Times New Roman"/>
          <w:sz w:val="24"/>
          <w:szCs w:val="24"/>
        </w:rPr>
        <w:t>angajantă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. VMTG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solicită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astfel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aprobarea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unui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factor f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egal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cu</w:t>
      </w:r>
      <w:r>
        <w:rPr>
          <w:rFonts w:ascii="Times New Roman" w:hAnsi="Times New Roman"/>
          <w:sz w:val="24"/>
          <w:szCs w:val="24"/>
        </w:rPr>
        <w:t xml:space="preserve"> </w:t>
      </w:r>
      <w:r w:rsidR="00D03388" w:rsidRPr="00D03388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pentru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aplicarea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rezumatului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388" w:rsidRPr="00D03388">
        <w:rPr>
          <w:rFonts w:ascii="Times New Roman" w:hAnsi="Times New Roman"/>
          <w:sz w:val="24"/>
          <w:szCs w:val="24"/>
        </w:rPr>
        <w:t>testului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 xml:space="preserve"> economic.</w:t>
      </w:r>
    </w:p>
    <w:p w14:paraId="4DA45366" w14:textId="158A11BD" w:rsidR="00D03388" w:rsidRPr="00D03388" w:rsidRDefault="00D03388" w:rsidP="00520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3388">
        <w:rPr>
          <w:rFonts w:ascii="Times New Roman" w:hAnsi="Times New Roman"/>
          <w:sz w:val="24"/>
          <w:szCs w:val="24"/>
        </w:rPr>
        <w:t xml:space="preserve">Au </w:t>
      </w:r>
      <w:proofErr w:type="spellStart"/>
      <w:r w:rsidRPr="00D03388">
        <w:rPr>
          <w:rFonts w:ascii="Times New Roman" w:hAnsi="Times New Roman"/>
          <w:sz w:val="24"/>
          <w:szCs w:val="24"/>
        </w:rPr>
        <w:t>fost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luate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în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considerare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următoarele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condiții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pentru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03388">
        <w:rPr>
          <w:rFonts w:ascii="Times New Roman" w:hAnsi="Times New Roman"/>
          <w:sz w:val="24"/>
          <w:szCs w:val="24"/>
        </w:rPr>
        <w:t>stabili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nivelul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necesar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de capacitate la PI </w:t>
      </w:r>
      <w:proofErr w:type="spellStart"/>
      <w:r w:rsidRPr="00D03388">
        <w:rPr>
          <w:rFonts w:ascii="Times New Roman" w:hAnsi="Times New Roman"/>
          <w:sz w:val="24"/>
          <w:szCs w:val="24"/>
        </w:rPr>
        <w:t>Căușeni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în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direcția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UA→MD </w:t>
      </w:r>
      <w:proofErr w:type="spellStart"/>
      <w:r w:rsidRPr="00D03388">
        <w:rPr>
          <w:rFonts w:ascii="Times New Roman" w:hAnsi="Times New Roman"/>
          <w:sz w:val="24"/>
          <w:szCs w:val="24"/>
        </w:rPr>
        <w:t>și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PI </w:t>
      </w:r>
      <w:proofErr w:type="spellStart"/>
      <w:r w:rsidRPr="00D03388">
        <w:rPr>
          <w:rFonts w:ascii="Times New Roman" w:hAnsi="Times New Roman"/>
          <w:sz w:val="24"/>
          <w:szCs w:val="24"/>
        </w:rPr>
        <w:t>Grebeniki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în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direcția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MD→UA:</w:t>
      </w:r>
    </w:p>
    <w:p w14:paraId="34204912" w14:textId="77777777" w:rsidR="00D03388" w:rsidRPr="00D03388" w:rsidRDefault="00D03388" w:rsidP="00EA55E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388">
        <w:rPr>
          <w:rFonts w:ascii="Times New Roman" w:hAnsi="Times New Roman"/>
          <w:sz w:val="24"/>
          <w:szCs w:val="24"/>
        </w:rPr>
        <w:t xml:space="preserve">- </w:t>
      </w:r>
      <w:r w:rsidRPr="00D03388">
        <w:rPr>
          <w:rFonts w:ascii="Times New Roman" w:hAnsi="Times New Roman"/>
          <w:sz w:val="24"/>
          <w:szCs w:val="24"/>
        </w:rPr>
        <w:tab/>
      </w:r>
      <w:proofErr w:type="spellStart"/>
      <w:r w:rsidRPr="00D03388">
        <w:rPr>
          <w:rFonts w:ascii="Times New Roman" w:hAnsi="Times New Roman"/>
          <w:sz w:val="24"/>
          <w:szCs w:val="24"/>
        </w:rPr>
        <w:t>Costurile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de capital </w:t>
      </w:r>
      <w:proofErr w:type="spellStart"/>
      <w:r w:rsidRPr="00D03388">
        <w:rPr>
          <w:rFonts w:ascii="Times New Roman" w:hAnsi="Times New Roman"/>
          <w:sz w:val="24"/>
          <w:szCs w:val="24"/>
        </w:rPr>
        <w:t>preconizate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D03388">
        <w:rPr>
          <w:rFonts w:ascii="Times New Roman" w:hAnsi="Times New Roman"/>
          <w:sz w:val="24"/>
          <w:szCs w:val="24"/>
        </w:rPr>
        <w:t>dezvoltărilor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prezentate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D03388">
        <w:rPr>
          <w:rFonts w:ascii="Times New Roman" w:hAnsi="Times New Roman"/>
          <w:sz w:val="24"/>
          <w:szCs w:val="24"/>
        </w:rPr>
        <w:t>punctul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4;</w:t>
      </w:r>
    </w:p>
    <w:p w14:paraId="55A00949" w14:textId="77777777" w:rsidR="00D03388" w:rsidRPr="00D03388" w:rsidRDefault="00D03388" w:rsidP="00EA55E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388">
        <w:rPr>
          <w:rFonts w:ascii="Times New Roman" w:hAnsi="Times New Roman"/>
          <w:sz w:val="24"/>
          <w:szCs w:val="24"/>
        </w:rPr>
        <w:t xml:space="preserve">- </w:t>
      </w:r>
      <w:r w:rsidRPr="00D03388">
        <w:rPr>
          <w:rFonts w:ascii="Times New Roman" w:hAnsi="Times New Roman"/>
          <w:sz w:val="24"/>
          <w:szCs w:val="24"/>
        </w:rPr>
        <w:tab/>
        <w:t xml:space="preserve">Rata </w:t>
      </w:r>
      <w:proofErr w:type="spellStart"/>
      <w:r w:rsidRPr="00D03388">
        <w:rPr>
          <w:rFonts w:ascii="Times New Roman" w:hAnsi="Times New Roman"/>
          <w:sz w:val="24"/>
          <w:szCs w:val="24"/>
        </w:rPr>
        <w:t>reglementată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03388">
        <w:rPr>
          <w:rFonts w:ascii="Times New Roman" w:hAnsi="Times New Roman"/>
          <w:sz w:val="24"/>
          <w:szCs w:val="24"/>
        </w:rPr>
        <w:t>rentabilitate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03388">
        <w:rPr>
          <w:rFonts w:ascii="Times New Roman" w:hAnsi="Times New Roman"/>
          <w:sz w:val="24"/>
          <w:szCs w:val="24"/>
        </w:rPr>
        <w:t>capitalului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investit</w:t>
      </w:r>
      <w:proofErr w:type="spellEnd"/>
      <w:r w:rsidRPr="00D03388">
        <w:rPr>
          <w:rFonts w:ascii="Times New Roman" w:hAnsi="Times New Roman"/>
          <w:sz w:val="24"/>
          <w:szCs w:val="24"/>
        </w:rPr>
        <w:t>: 9,53%;</w:t>
      </w:r>
    </w:p>
    <w:p w14:paraId="779115E0" w14:textId="22BBC3E5" w:rsidR="00D03388" w:rsidRPr="00D03388" w:rsidRDefault="00D03388" w:rsidP="00EA55E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388">
        <w:rPr>
          <w:rFonts w:ascii="Times New Roman" w:hAnsi="Times New Roman"/>
          <w:sz w:val="24"/>
          <w:szCs w:val="24"/>
        </w:rPr>
        <w:t xml:space="preserve">- </w:t>
      </w:r>
      <w:r w:rsidRPr="00D03388">
        <w:rPr>
          <w:rFonts w:ascii="Times New Roman" w:hAnsi="Times New Roman"/>
          <w:sz w:val="24"/>
          <w:szCs w:val="24"/>
        </w:rPr>
        <w:tab/>
      </w:r>
      <w:proofErr w:type="spellStart"/>
      <w:r w:rsidRPr="00D03388">
        <w:rPr>
          <w:rFonts w:ascii="Times New Roman" w:hAnsi="Times New Roman"/>
          <w:sz w:val="24"/>
          <w:szCs w:val="24"/>
        </w:rPr>
        <w:t>Costuri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03388">
        <w:rPr>
          <w:rFonts w:ascii="Times New Roman" w:hAnsi="Times New Roman"/>
          <w:sz w:val="24"/>
          <w:szCs w:val="24"/>
        </w:rPr>
        <w:t>operare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estimate;</w:t>
      </w:r>
    </w:p>
    <w:p w14:paraId="21D3A481" w14:textId="77777777" w:rsidR="00EA55E4" w:rsidRDefault="00D03388" w:rsidP="00EA55E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388">
        <w:rPr>
          <w:rFonts w:ascii="Times New Roman" w:hAnsi="Times New Roman"/>
          <w:sz w:val="24"/>
          <w:szCs w:val="24"/>
        </w:rPr>
        <w:t xml:space="preserve">- </w:t>
      </w:r>
      <w:r w:rsidRPr="00D03388">
        <w:rPr>
          <w:rFonts w:ascii="Times New Roman" w:hAnsi="Times New Roman"/>
          <w:sz w:val="24"/>
          <w:szCs w:val="24"/>
        </w:rPr>
        <w:tab/>
      </w:r>
      <w:proofErr w:type="spellStart"/>
      <w:r w:rsidRPr="00D03388">
        <w:rPr>
          <w:rFonts w:ascii="Times New Roman" w:hAnsi="Times New Roman"/>
          <w:sz w:val="24"/>
          <w:szCs w:val="24"/>
        </w:rPr>
        <w:t>Factorul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f: 1,0;</w:t>
      </w:r>
    </w:p>
    <w:p w14:paraId="0AA284AD" w14:textId="6DEC7119" w:rsidR="00D03388" w:rsidRPr="00D03388" w:rsidRDefault="00EA55E4" w:rsidP="00EA55E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="00D03388" w:rsidRPr="00D03388">
        <w:rPr>
          <w:rFonts w:ascii="Times New Roman" w:hAnsi="Times New Roman"/>
          <w:sz w:val="24"/>
          <w:szCs w:val="24"/>
        </w:rPr>
        <w:t xml:space="preserve">Rata </w:t>
      </w:r>
      <w:r w:rsidR="00984D90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984D90">
        <w:rPr>
          <w:rFonts w:ascii="Times New Roman" w:hAnsi="Times New Roman"/>
          <w:sz w:val="24"/>
          <w:szCs w:val="24"/>
        </w:rPr>
        <w:t>schimb</w:t>
      </w:r>
      <w:proofErr w:type="spellEnd"/>
      <w:r w:rsidR="00D03388" w:rsidRPr="00D03388">
        <w:rPr>
          <w:rFonts w:ascii="Times New Roman" w:hAnsi="Times New Roman"/>
          <w:sz w:val="24"/>
          <w:szCs w:val="24"/>
        </w:rPr>
        <w:t>: 1 EUR = 1</w:t>
      </w:r>
      <w:r w:rsidR="00D03388" w:rsidRPr="00D03388">
        <w:rPr>
          <w:rFonts w:ascii="Times New Roman" w:hAnsi="Times New Roman"/>
          <w:sz w:val="24"/>
          <w:szCs w:val="24"/>
          <w:lang w:val="en-GB"/>
        </w:rPr>
        <w:t xml:space="preserve">9.3425 </w:t>
      </w:r>
      <w:r w:rsidR="00D03388" w:rsidRPr="00D03388">
        <w:rPr>
          <w:rFonts w:ascii="Times New Roman" w:hAnsi="Times New Roman"/>
          <w:sz w:val="24"/>
          <w:szCs w:val="24"/>
        </w:rPr>
        <w:t>MDL.</w:t>
      </w:r>
    </w:p>
    <w:p w14:paraId="17C889E9" w14:textId="77777777" w:rsidR="00D03388" w:rsidRPr="00D03388" w:rsidRDefault="00D03388" w:rsidP="00EA5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4205"/>
        <w:gridCol w:w="2858"/>
        <w:gridCol w:w="2827"/>
      </w:tblGrid>
      <w:tr w:rsidR="00D03388" w:rsidRPr="00D03388" w14:paraId="214DDB2C" w14:textId="77777777" w:rsidTr="00984D90">
        <w:tc>
          <w:tcPr>
            <w:tcW w:w="2126" w:type="pct"/>
            <w:vAlign w:val="center"/>
          </w:tcPr>
          <w:p w14:paraId="035F77CE" w14:textId="6B0D6C26" w:rsidR="00D03388" w:rsidRPr="00520539" w:rsidRDefault="00040406" w:rsidP="005205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20539">
              <w:rPr>
                <w:rFonts w:ascii="Times New Roman" w:eastAsiaTheme="minorHAnsi" w:hAnsi="Times New Roman"/>
                <w:b/>
                <w:sz w:val="24"/>
                <w:szCs w:val="24"/>
              </w:rPr>
              <w:t>Parametri</w:t>
            </w:r>
            <w:proofErr w:type="spellEnd"/>
          </w:p>
        </w:tc>
        <w:tc>
          <w:tcPr>
            <w:tcW w:w="1445" w:type="pct"/>
          </w:tcPr>
          <w:p w14:paraId="0083CA3E" w14:textId="7CFADFB1" w:rsidR="00D03388" w:rsidRPr="00040406" w:rsidRDefault="00D033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40406">
              <w:rPr>
                <w:rFonts w:ascii="Times New Roman" w:eastAsiaTheme="minorHAnsi" w:hAnsi="Times New Roman"/>
                <w:b/>
                <w:sz w:val="24"/>
                <w:szCs w:val="24"/>
                <w:lang w:val="en-GB"/>
              </w:rPr>
              <w:t xml:space="preserve">IP </w:t>
            </w:r>
            <w:proofErr w:type="spellStart"/>
            <w:r w:rsidRPr="00040406">
              <w:rPr>
                <w:rFonts w:ascii="Times New Roman" w:eastAsiaTheme="minorHAnsi" w:hAnsi="Times New Roman"/>
                <w:b/>
                <w:sz w:val="24"/>
                <w:szCs w:val="24"/>
                <w:lang w:val="en-GB"/>
              </w:rPr>
              <w:t>Căușeni</w:t>
            </w:r>
            <w:proofErr w:type="spellEnd"/>
          </w:p>
        </w:tc>
        <w:tc>
          <w:tcPr>
            <w:tcW w:w="1429" w:type="pct"/>
          </w:tcPr>
          <w:p w14:paraId="5AF26D09" w14:textId="3F648D1A" w:rsidR="00D03388" w:rsidRPr="00040406" w:rsidRDefault="00D033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40406">
              <w:rPr>
                <w:rFonts w:ascii="Times New Roman" w:eastAsiaTheme="minorHAnsi" w:hAnsi="Times New Roman"/>
                <w:b/>
                <w:sz w:val="24"/>
                <w:szCs w:val="24"/>
                <w:lang w:val="en-GB"/>
              </w:rPr>
              <w:t xml:space="preserve">IP </w:t>
            </w:r>
            <w:proofErr w:type="spellStart"/>
            <w:r w:rsidRPr="00040406">
              <w:rPr>
                <w:rFonts w:ascii="Times New Roman" w:eastAsiaTheme="minorHAnsi" w:hAnsi="Times New Roman"/>
                <w:b/>
                <w:sz w:val="24"/>
                <w:szCs w:val="24"/>
                <w:lang w:val="en-GB"/>
              </w:rPr>
              <w:t>Grebeniki</w:t>
            </w:r>
            <w:proofErr w:type="spellEnd"/>
          </w:p>
        </w:tc>
      </w:tr>
      <w:tr w:rsidR="00D03388" w:rsidRPr="00D03388" w14:paraId="7C5C3DBF" w14:textId="77777777" w:rsidTr="00984D90">
        <w:tc>
          <w:tcPr>
            <w:tcW w:w="2126" w:type="pct"/>
            <w:vAlign w:val="center"/>
          </w:tcPr>
          <w:p w14:paraId="42DDF150" w14:textId="77777777" w:rsidR="00D03388" w:rsidRPr="00D03388" w:rsidRDefault="00D03388" w:rsidP="00EA55E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Direcția</w:t>
            </w:r>
            <w:proofErr w:type="spellEnd"/>
          </w:p>
        </w:tc>
        <w:tc>
          <w:tcPr>
            <w:tcW w:w="1445" w:type="pct"/>
          </w:tcPr>
          <w:p w14:paraId="577F6B18" w14:textId="77777777" w:rsidR="00D03388" w:rsidRPr="00D03388" w:rsidRDefault="00D03388" w:rsidP="005205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UA-MD</w:t>
            </w:r>
          </w:p>
        </w:tc>
        <w:tc>
          <w:tcPr>
            <w:tcW w:w="1429" w:type="pct"/>
          </w:tcPr>
          <w:p w14:paraId="4E3C5A2D" w14:textId="77777777" w:rsidR="00D03388" w:rsidRPr="00D03388" w:rsidRDefault="00D03388" w:rsidP="005205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MD-UA</w:t>
            </w:r>
          </w:p>
        </w:tc>
      </w:tr>
      <w:tr w:rsidR="00D03388" w:rsidRPr="00D03388" w14:paraId="5B3D6880" w14:textId="77777777" w:rsidTr="00984D90">
        <w:tc>
          <w:tcPr>
            <w:tcW w:w="2126" w:type="pct"/>
            <w:vAlign w:val="center"/>
          </w:tcPr>
          <w:p w14:paraId="79B9BA93" w14:textId="77777777" w:rsidR="00D03388" w:rsidRPr="00D03388" w:rsidRDefault="00D03388" w:rsidP="00EA55E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Capacitate </w:t>
            </w:r>
            <w:proofErr w:type="spellStart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incrementală</w:t>
            </w:r>
            <w:proofErr w:type="spellEnd"/>
          </w:p>
        </w:tc>
        <w:tc>
          <w:tcPr>
            <w:tcW w:w="1445" w:type="pct"/>
          </w:tcPr>
          <w:p w14:paraId="653792B6" w14:textId="1EBE7AC9" w:rsidR="00D03388" w:rsidRPr="00D03388" w:rsidRDefault="00D03388" w:rsidP="005205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192 020 746 MWh/d/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an</w:t>
            </w:r>
          </w:p>
        </w:tc>
        <w:tc>
          <w:tcPr>
            <w:tcW w:w="1429" w:type="pct"/>
          </w:tcPr>
          <w:p w14:paraId="20042CF5" w14:textId="48D802AE" w:rsidR="00D03388" w:rsidRPr="00D03388" w:rsidRDefault="00D03388" w:rsidP="005205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176 465 000 MWh/d/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an</w:t>
            </w:r>
          </w:p>
        </w:tc>
      </w:tr>
      <w:tr w:rsidR="00D03388" w:rsidRPr="00D03388" w14:paraId="19872D15" w14:textId="77777777" w:rsidTr="00984D90">
        <w:tc>
          <w:tcPr>
            <w:tcW w:w="2126" w:type="pct"/>
            <w:vAlign w:val="center"/>
          </w:tcPr>
          <w:p w14:paraId="5DDEEADD" w14:textId="77777777" w:rsidR="00D03388" w:rsidRPr="00D03388" w:rsidRDefault="00D03388" w:rsidP="00EA55E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Rata de capacitate </w:t>
            </w:r>
            <w:proofErr w:type="spellStart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rezervată</w:t>
            </w:r>
            <w:proofErr w:type="spellEnd"/>
          </w:p>
        </w:tc>
        <w:tc>
          <w:tcPr>
            <w:tcW w:w="1445" w:type="pct"/>
          </w:tcPr>
          <w:p w14:paraId="4BE4FD7F" w14:textId="0C7926BF" w:rsidR="00D03388" w:rsidRPr="00D03388" w:rsidRDefault="00D03388" w:rsidP="005205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10</w:t>
            </w:r>
            <w:r w:rsidR="00040406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 xml:space="preserve"> </w:t>
            </w:r>
            <w:r w:rsidRPr="00D03388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%</w:t>
            </w:r>
          </w:p>
        </w:tc>
        <w:tc>
          <w:tcPr>
            <w:tcW w:w="1429" w:type="pct"/>
          </w:tcPr>
          <w:p w14:paraId="2ADDC97B" w14:textId="1ED029EE" w:rsidR="00D03388" w:rsidRPr="00D03388" w:rsidRDefault="00D03388" w:rsidP="005205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10</w:t>
            </w:r>
            <w:r w:rsidR="00040406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 xml:space="preserve"> </w:t>
            </w:r>
            <w:r w:rsidRPr="00D03388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%</w:t>
            </w:r>
          </w:p>
        </w:tc>
      </w:tr>
      <w:tr w:rsidR="00D03388" w:rsidRPr="00D03388" w14:paraId="798B7773" w14:textId="77777777" w:rsidTr="00984D90">
        <w:tc>
          <w:tcPr>
            <w:tcW w:w="2126" w:type="pct"/>
            <w:vAlign w:val="center"/>
          </w:tcPr>
          <w:p w14:paraId="71D93759" w14:textId="77777777" w:rsidR="00D03388" w:rsidRPr="00D03388" w:rsidRDefault="00D03388" w:rsidP="00EA55E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Capacitate </w:t>
            </w:r>
            <w:proofErr w:type="spellStart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anunțată</w:t>
            </w:r>
            <w:proofErr w:type="spellEnd"/>
          </w:p>
        </w:tc>
        <w:tc>
          <w:tcPr>
            <w:tcW w:w="1445" w:type="pct"/>
          </w:tcPr>
          <w:p w14:paraId="352D3E6E" w14:textId="0936BB12" w:rsidR="00D03388" w:rsidRPr="00D03388" w:rsidRDefault="00D03388" w:rsidP="005205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172 818.671</w:t>
            </w:r>
            <w:r w:rsidRPr="00D03388">
              <w:rPr>
                <w:rFonts w:ascii="Times New Roman" w:hAnsi="Times New Roman"/>
              </w:rPr>
              <w:t xml:space="preserve"> </w:t>
            </w:r>
            <w:r w:rsidRPr="00D03388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MWh/d/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an</w:t>
            </w:r>
          </w:p>
          <w:p w14:paraId="23C0C76C" w14:textId="77777777" w:rsidR="00D03388" w:rsidRPr="00D03388" w:rsidRDefault="00D03388" w:rsidP="005205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7 201 MWh/h/y</w:t>
            </w:r>
          </w:p>
        </w:tc>
        <w:tc>
          <w:tcPr>
            <w:tcW w:w="1429" w:type="pct"/>
          </w:tcPr>
          <w:p w14:paraId="35AF3C52" w14:textId="51B72FA2" w:rsidR="00D03388" w:rsidRPr="00D03388" w:rsidRDefault="00D03388" w:rsidP="005205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158 818.500 MWh/d/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an</w:t>
            </w:r>
          </w:p>
          <w:p w14:paraId="1EA9F793" w14:textId="77777777" w:rsidR="00D03388" w:rsidRPr="00D03388" w:rsidRDefault="00D03388" w:rsidP="005205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6 618 MWh/h/y</w:t>
            </w:r>
          </w:p>
        </w:tc>
      </w:tr>
      <w:tr w:rsidR="00D03388" w:rsidRPr="00D03388" w14:paraId="35B806E7" w14:textId="77777777" w:rsidTr="00520539">
        <w:tc>
          <w:tcPr>
            <w:tcW w:w="2126" w:type="pct"/>
            <w:vAlign w:val="center"/>
          </w:tcPr>
          <w:p w14:paraId="767267B1" w14:textId="77777777" w:rsidR="00D03388" w:rsidRPr="00D03388" w:rsidRDefault="00D03388" w:rsidP="00EA5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Valoarea</w:t>
            </w:r>
            <w:proofErr w:type="spellEnd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actuală</w:t>
            </w:r>
            <w:proofErr w:type="spellEnd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angajamentelor</w:t>
            </w:r>
            <w:proofErr w:type="spellEnd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obligatorii</w:t>
            </w:r>
            <w:proofErr w:type="spellEnd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pentru</w:t>
            </w:r>
            <w:proofErr w:type="spellEnd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utilizatorii</w:t>
            </w:r>
            <w:proofErr w:type="spellEnd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sistemului</w:t>
            </w:r>
            <w:proofErr w:type="spellEnd"/>
          </w:p>
        </w:tc>
        <w:tc>
          <w:tcPr>
            <w:tcW w:w="1445" w:type="pct"/>
            <w:vAlign w:val="center"/>
          </w:tcPr>
          <w:p w14:paraId="1E00E751" w14:textId="77777777" w:rsidR="00D03388" w:rsidRPr="00D03388" w:rsidRDefault="00D03388" w:rsidP="005205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569 956 435 MDL</w:t>
            </w:r>
          </w:p>
        </w:tc>
        <w:tc>
          <w:tcPr>
            <w:tcW w:w="1429" w:type="pct"/>
            <w:vAlign w:val="center"/>
          </w:tcPr>
          <w:p w14:paraId="23B6C533" w14:textId="77777777" w:rsidR="00D03388" w:rsidRPr="00D03388" w:rsidRDefault="00D03388" w:rsidP="00520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4 683 977 715 MDL</w:t>
            </w:r>
          </w:p>
        </w:tc>
      </w:tr>
      <w:tr w:rsidR="00D03388" w:rsidRPr="00D03388" w14:paraId="07889BBF" w14:textId="77777777" w:rsidTr="00984D90">
        <w:tc>
          <w:tcPr>
            <w:tcW w:w="2126" w:type="pct"/>
            <w:vAlign w:val="center"/>
          </w:tcPr>
          <w:p w14:paraId="6FED896E" w14:textId="3F54469E" w:rsidR="00D03388" w:rsidRPr="00D03388" w:rsidRDefault="00040406" w:rsidP="00EA55E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F</w:t>
            </w:r>
            <w:r w:rsidR="00D03388"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actorul</w:t>
            </w:r>
            <w:proofErr w:type="spellEnd"/>
            <w:r w:rsidR="00D03388"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f.</w:t>
            </w:r>
          </w:p>
        </w:tc>
        <w:tc>
          <w:tcPr>
            <w:tcW w:w="1445" w:type="pct"/>
            <w:vAlign w:val="center"/>
          </w:tcPr>
          <w:p w14:paraId="06BE460A" w14:textId="77777777" w:rsidR="00D03388" w:rsidRPr="00D03388" w:rsidRDefault="00D033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9" w:type="pct"/>
            <w:vAlign w:val="center"/>
          </w:tcPr>
          <w:p w14:paraId="4C919186" w14:textId="77777777" w:rsidR="00D03388" w:rsidRPr="00D03388" w:rsidRDefault="00D033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3388" w:rsidRPr="00D03388" w14:paraId="29DC1DCF" w14:textId="77777777" w:rsidTr="00984D90">
        <w:tc>
          <w:tcPr>
            <w:tcW w:w="2126" w:type="pct"/>
            <w:vAlign w:val="center"/>
          </w:tcPr>
          <w:p w14:paraId="1ECBAE9A" w14:textId="77777777" w:rsidR="00D03388" w:rsidRPr="00D03388" w:rsidRDefault="00D03388" w:rsidP="00EA55E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CAPEX</w:t>
            </w:r>
          </w:p>
        </w:tc>
        <w:tc>
          <w:tcPr>
            <w:tcW w:w="2874" w:type="pct"/>
            <w:gridSpan w:val="2"/>
          </w:tcPr>
          <w:p w14:paraId="06F616FA" w14:textId="77777777" w:rsidR="00D03388" w:rsidRPr="00D03388" w:rsidRDefault="00D03388" w:rsidP="005205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2 377 240 EUR</w:t>
            </w:r>
          </w:p>
        </w:tc>
      </w:tr>
      <w:tr w:rsidR="00D03388" w:rsidRPr="00D03388" w14:paraId="10D4E109" w14:textId="77777777" w:rsidTr="00984D90">
        <w:tc>
          <w:tcPr>
            <w:tcW w:w="2126" w:type="pct"/>
            <w:vAlign w:val="center"/>
          </w:tcPr>
          <w:p w14:paraId="7C704F62" w14:textId="77777777" w:rsidR="00D03388" w:rsidRPr="00D03388" w:rsidRDefault="00D03388" w:rsidP="00EA55E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Operațiune</w:t>
            </w:r>
            <w:proofErr w:type="spellEnd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comercială</w:t>
            </w:r>
            <w:proofErr w:type="spellEnd"/>
          </w:p>
        </w:tc>
        <w:tc>
          <w:tcPr>
            <w:tcW w:w="1445" w:type="pct"/>
          </w:tcPr>
          <w:p w14:paraId="7BA263D9" w14:textId="77777777" w:rsidR="00D03388" w:rsidRPr="00D03388" w:rsidRDefault="00D03388" w:rsidP="005205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2027/2028</w:t>
            </w:r>
          </w:p>
        </w:tc>
        <w:tc>
          <w:tcPr>
            <w:tcW w:w="1429" w:type="pct"/>
          </w:tcPr>
          <w:p w14:paraId="1FDD88C6" w14:textId="77777777" w:rsidR="00D03388" w:rsidRPr="00D03388" w:rsidRDefault="00D03388" w:rsidP="005205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2027/2028</w:t>
            </w:r>
          </w:p>
        </w:tc>
      </w:tr>
      <w:tr w:rsidR="00D03388" w:rsidRPr="00D03388" w14:paraId="3625AACD" w14:textId="77777777" w:rsidTr="00984D90">
        <w:tc>
          <w:tcPr>
            <w:tcW w:w="2126" w:type="pct"/>
            <w:vAlign w:val="center"/>
          </w:tcPr>
          <w:p w14:paraId="51C9C639" w14:textId="77777777" w:rsidR="00D03388" w:rsidRPr="00D03388" w:rsidRDefault="00D03388" w:rsidP="00EA55E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Durata</w:t>
            </w:r>
            <w:proofErr w:type="spellEnd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economică</w:t>
            </w:r>
            <w:proofErr w:type="spellEnd"/>
          </w:p>
        </w:tc>
        <w:tc>
          <w:tcPr>
            <w:tcW w:w="1445" w:type="pct"/>
          </w:tcPr>
          <w:p w14:paraId="44C65C23" w14:textId="381D21CC" w:rsidR="00D03388" w:rsidRPr="00D03388" w:rsidRDefault="00D03388" w:rsidP="005205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 xml:space="preserve">15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ani</w:t>
            </w:r>
            <w:proofErr w:type="spellEnd"/>
          </w:p>
        </w:tc>
        <w:tc>
          <w:tcPr>
            <w:tcW w:w="1429" w:type="pct"/>
          </w:tcPr>
          <w:p w14:paraId="08C985FB" w14:textId="11AA6468" w:rsidR="00D03388" w:rsidRPr="00D03388" w:rsidRDefault="00D03388" w:rsidP="005205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 xml:space="preserve">15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ani</w:t>
            </w:r>
            <w:proofErr w:type="spellEnd"/>
          </w:p>
        </w:tc>
      </w:tr>
      <w:tr w:rsidR="00D03388" w:rsidRPr="00D03388" w14:paraId="035EEBB1" w14:textId="77777777" w:rsidTr="00984D90">
        <w:tc>
          <w:tcPr>
            <w:tcW w:w="2126" w:type="pct"/>
            <w:vAlign w:val="center"/>
          </w:tcPr>
          <w:p w14:paraId="5E165249" w14:textId="77777777" w:rsidR="00D03388" w:rsidRPr="00D03388" w:rsidRDefault="00D03388" w:rsidP="00EA55E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Tariful</w:t>
            </w:r>
            <w:proofErr w:type="spellEnd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curent</w:t>
            </w:r>
            <w:proofErr w:type="spellEnd"/>
          </w:p>
        </w:tc>
        <w:tc>
          <w:tcPr>
            <w:tcW w:w="1445" w:type="pct"/>
          </w:tcPr>
          <w:p w14:paraId="195FB63B" w14:textId="77777777" w:rsidR="00D03388" w:rsidRPr="00D03388" w:rsidRDefault="00D03388" w:rsidP="005205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20.9 MDL/MWh/h</w:t>
            </w:r>
          </w:p>
        </w:tc>
        <w:tc>
          <w:tcPr>
            <w:tcW w:w="1429" w:type="pct"/>
          </w:tcPr>
          <w:p w14:paraId="07DEA4A4" w14:textId="77777777" w:rsidR="00D03388" w:rsidRPr="00D03388" w:rsidRDefault="00D03388" w:rsidP="005205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20.9 MDL/MWh/h</w:t>
            </w:r>
          </w:p>
        </w:tc>
      </w:tr>
      <w:tr w:rsidR="00D03388" w:rsidRPr="00D03388" w14:paraId="03256AEB" w14:textId="77777777" w:rsidTr="00984D90">
        <w:tc>
          <w:tcPr>
            <w:tcW w:w="2126" w:type="pct"/>
            <w:vAlign w:val="center"/>
          </w:tcPr>
          <w:p w14:paraId="6B849D0C" w14:textId="77777777" w:rsidR="00D03388" w:rsidRPr="00D03388" w:rsidRDefault="00D03388" w:rsidP="00EA55E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Tarif</w:t>
            </w:r>
            <w:proofErr w:type="spellEnd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curent</w:t>
            </w:r>
            <w:proofErr w:type="spellEnd"/>
            <w:r w:rsidRPr="00D033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(specific)</w:t>
            </w:r>
          </w:p>
        </w:tc>
        <w:tc>
          <w:tcPr>
            <w:tcW w:w="1445" w:type="pct"/>
          </w:tcPr>
          <w:p w14:paraId="5989B498" w14:textId="77777777" w:rsidR="00D03388" w:rsidRPr="00D03388" w:rsidRDefault="00D03388" w:rsidP="005205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1.0829  EUR/MWh</w:t>
            </w:r>
          </w:p>
        </w:tc>
        <w:tc>
          <w:tcPr>
            <w:tcW w:w="1429" w:type="pct"/>
          </w:tcPr>
          <w:p w14:paraId="12E1FFF7" w14:textId="77777777" w:rsidR="00D03388" w:rsidRPr="00D03388" w:rsidRDefault="00D03388" w:rsidP="005205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88"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  <w:t>1.0829  EUR/MWh</w:t>
            </w:r>
          </w:p>
        </w:tc>
      </w:tr>
    </w:tbl>
    <w:p w14:paraId="0313E13B" w14:textId="77777777" w:rsidR="00D03388" w:rsidRPr="00D03388" w:rsidRDefault="00D03388" w:rsidP="00EA5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2CD893" w14:textId="123C6016" w:rsidR="008073E7" w:rsidRPr="00D03388" w:rsidRDefault="001A4113" w:rsidP="00520539">
      <w:pPr>
        <w:spacing w:after="0" w:line="240" w:lineRule="auto"/>
        <w:ind w:left="7" w:right="-1" w:firstLine="56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D03388">
        <w:rPr>
          <w:rFonts w:ascii="Times New Roman" w:eastAsia="Times New Roman" w:hAnsi="Times New Roman"/>
          <w:sz w:val="24"/>
          <w:szCs w:val="24"/>
          <w:lang w:val="ro-MD"/>
        </w:rPr>
        <w:t>Capaci</w:t>
      </w:r>
      <w:r w:rsidR="00C711C7" w:rsidRPr="00D03388">
        <w:rPr>
          <w:rFonts w:ascii="Times New Roman" w:eastAsia="Times New Roman" w:hAnsi="Times New Roman"/>
          <w:sz w:val="24"/>
          <w:szCs w:val="24"/>
          <w:lang w:val="ro-MD"/>
        </w:rPr>
        <w:t>tatea incrementală pentru</w:t>
      </w:r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perioada 2027-2042, la PI Căușeni și PI 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  <w:lang w:val="ro-MD"/>
        </w:rPr>
        <w:t>Grebeniki</w:t>
      </w:r>
      <w:proofErr w:type="spellEnd"/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pe platforma RBP,</w:t>
      </w:r>
      <w:r w:rsidR="00C711C7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urmează a fi oferită</w:t>
      </w:r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în cadrul licitației anuale de capacitate care se va desfășura la data de 3.07.2024</w:t>
      </w:r>
      <w:r w:rsidR="00C711C7" w:rsidRPr="00D03388">
        <w:rPr>
          <w:rFonts w:ascii="Times New Roman" w:eastAsia="Times New Roman" w:hAnsi="Times New Roman"/>
          <w:sz w:val="24"/>
          <w:szCs w:val="24"/>
          <w:lang w:val="ro-MD"/>
        </w:rPr>
        <w:t>,</w:t>
      </w:r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conform calendarului ENTSO-G. </w:t>
      </w:r>
    </w:p>
    <w:p w14:paraId="16393DD1" w14:textId="2620A233" w:rsidR="008073E7" w:rsidRPr="008C29AE" w:rsidRDefault="003440CF" w:rsidP="008C29AE">
      <w:pPr>
        <w:spacing w:after="0" w:line="240" w:lineRule="auto"/>
        <w:ind w:left="6" w:firstLine="703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D03388">
        <w:rPr>
          <w:rFonts w:ascii="Times New Roman" w:eastAsia="Times New Roman" w:hAnsi="Times New Roman"/>
          <w:sz w:val="24"/>
          <w:szCs w:val="24"/>
          <w:lang w:val="ro-MD"/>
        </w:rPr>
        <w:t>Este important de menționat că î</w:t>
      </w:r>
      <w:r w:rsidR="001A4113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n cazul </w:t>
      </w:r>
      <w:proofErr w:type="spellStart"/>
      <w:r w:rsidR="001A4113" w:rsidRPr="00D03388">
        <w:rPr>
          <w:rFonts w:ascii="Times New Roman" w:eastAsia="Times New Roman" w:hAnsi="Times New Roman"/>
          <w:sz w:val="24"/>
          <w:szCs w:val="24"/>
          <w:lang w:val="ro-MD"/>
        </w:rPr>
        <w:t>obţinerii</w:t>
      </w:r>
      <w:proofErr w:type="spellEnd"/>
      <w:r w:rsidR="001A4113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angajamentelor obligatorii ale utilizatorilor de sistem privind contractarea </w:t>
      </w:r>
      <w:proofErr w:type="spellStart"/>
      <w:r w:rsidR="001A4113" w:rsidRPr="00D03388">
        <w:rPr>
          <w:rFonts w:ascii="Times New Roman" w:eastAsia="Times New Roman" w:hAnsi="Times New Roman"/>
          <w:sz w:val="24"/>
          <w:szCs w:val="24"/>
          <w:lang w:val="ro-MD"/>
        </w:rPr>
        <w:t>capacităţii</w:t>
      </w:r>
      <w:proofErr w:type="spellEnd"/>
      <w:r w:rsidR="001A4113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incrementale pentru perioada 2027-2042 VMTG va realiza un </w:t>
      </w:r>
      <w:r w:rsidR="001A4113" w:rsidRPr="00D03388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test </w:t>
      </w:r>
      <w:r w:rsidR="001A4113" w:rsidRPr="008C29AE">
        <w:rPr>
          <w:rFonts w:ascii="Times New Roman" w:eastAsia="Times New Roman" w:hAnsi="Times New Roman"/>
          <w:b/>
          <w:sz w:val="24"/>
          <w:szCs w:val="24"/>
          <w:lang w:val="ro-MD"/>
        </w:rPr>
        <w:t>economic</w:t>
      </w:r>
      <w:r w:rsidR="001A4113" w:rsidRPr="008C29AE">
        <w:rPr>
          <w:rFonts w:ascii="Times New Roman" w:eastAsia="Times New Roman" w:hAnsi="Times New Roman"/>
          <w:sz w:val="24"/>
          <w:szCs w:val="24"/>
          <w:lang w:val="ro-MD"/>
        </w:rPr>
        <w:t xml:space="preserve">, conform exigențelor Codului rețelelor de gaze naturale și </w:t>
      </w:r>
      <w:r w:rsidR="00552186" w:rsidRPr="008C29AE">
        <w:rPr>
          <w:rFonts w:ascii="Times New Roman" w:eastAsia="Times New Roman" w:hAnsi="Times New Roman"/>
          <w:sz w:val="24"/>
          <w:szCs w:val="24"/>
          <w:lang w:val="ro-MD"/>
        </w:rPr>
        <w:t xml:space="preserve">parametrilor testului economic prevăzuți </w:t>
      </w:r>
      <w:r w:rsidR="001610AB" w:rsidRPr="008C29AE">
        <w:rPr>
          <w:rFonts w:ascii="Times New Roman" w:eastAsia="Times New Roman" w:hAnsi="Times New Roman"/>
          <w:sz w:val="24"/>
          <w:szCs w:val="24"/>
          <w:lang w:val="ro-MD"/>
        </w:rPr>
        <w:t xml:space="preserve">în </w:t>
      </w:r>
      <w:r w:rsidR="001A4113" w:rsidRPr="008C29AE">
        <w:rPr>
          <w:rFonts w:ascii="Times New Roman" w:eastAsia="Times New Roman" w:hAnsi="Times New Roman"/>
          <w:sz w:val="24"/>
          <w:szCs w:val="24"/>
          <w:lang w:val="ro-MD"/>
        </w:rPr>
        <w:t>propuner</w:t>
      </w:r>
      <w:r w:rsidR="009A2562" w:rsidRPr="008C29AE">
        <w:rPr>
          <w:rFonts w:ascii="Times New Roman" w:eastAsia="Times New Roman" w:hAnsi="Times New Roman"/>
          <w:sz w:val="24"/>
          <w:szCs w:val="24"/>
          <w:lang w:val="ro-MD"/>
        </w:rPr>
        <w:t xml:space="preserve">ea </w:t>
      </w:r>
      <w:r w:rsidR="001A4113" w:rsidRPr="008C29AE">
        <w:rPr>
          <w:rFonts w:ascii="Times New Roman" w:eastAsia="Times New Roman" w:hAnsi="Times New Roman"/>
          <w:sz w:val="24"/>
          <w:szCs w:val="24"/>
          <w:lang w:val="ro-MD"/>
        </w:rPr>
        <w:t xml:space="preserve">de proiect. </w:t>
      </w:r>
    </w:p>
    <w:p w14:paraId="1E4D047E" w14:textId="77777777" w:rsidR="008C29AE" w:rsidRPr="008C29AE" w:rsidRDefault="008C29AE" w:rsidP="008C29AE">
      <w:pPr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  <w:lang w:val="ro-MD"/>
        </w:rPr>
      </w:pPr>
      <w:r w:rsidRPr="008C29AE">
        <w:rPr>
          <w:rFonts w:ascii="Times New Roman" w:hAnsi="Times New Roman"/>
          <w:sz w:val="24"/>
          <w:szCs w:val="24"/>
          <w:lang w:val="ro-MD"/>
        </w:rPr>
        <w:t>SRL „</w:t>
      </w:r>
      <w:proofErr w:type="spellStart"/>
      <w:r w:rsidRPr="008C29AE">
        <w:rPr>
          <w:rFonts w:ascii="Times New Roman" w:hAnsi="Times New Roman"/>
          <w:sz w:val="24"/>
          <w:szCs w:val="24"/>
          <w:lang w:val="ro-MD"/>
        </w:rPr>
        <w:t>Vestmoldtransgaz</w:t>
      </w:r>
      <w:proofErr w:type="spellEnd"/>
      <w:r w:rsidRPr="008C29AE">
        <w:rPr>
          <w:rFonts w:ascii="Times New Roman" w:hAnsi="Times New Roman"/>
          <w:sz w:val="24"/>
          <w:szCs w:val="24"/>
          <w:lang w:val="ro-MD"/>
        </w:rPr>
        <w:t xml:space="preserve">” va lua decizia de investiție pentru </w:t>
      </w:r>
      <w:proofErr w:type="spellStart"/>
      <w:r w:rsidRPr="008C29AE">
        <w:rPr>
          <w:rFonts w:ascii="Times New Roman" w:hAnsi="Times New Roman"/>
          <w:sz w:val="24"/>
          <w:szCs w:val="24"/>
          <w:lang w:val="ro-MD"/>
        </w:rPr>
        <w:t>implementaera</w:t>
      </w:r>
      <w:proofErr w:type="spellEnd"/>
      <w:r w:rsidRPr="008C29AE">
        <w:rPr>
          <w:rFonts w:ascii="Times New Roman" w:hAnsi="Times New Roman"/>
          <w:sz w:val="24"/>
          <w:szCs w:val="24"/>
          <w:lang w:val="ro-MD"/>
        </w:rPr>
        <w:t xml:space="preserve"> proiectului doar dacă există angajamentele obligatorii ale utilizatorilor de sistem privind contractarea </w:t>
      </w:r>
      <w:proofErr w:type="spellStart"/>
      <w:r w:rsidRPr="008C29AE">
        <w:rPr>
          <w:rFonts w:ascii="Times New Roman" w:hAnsi="Times New Roman"/>
          <w:sz w:val="24"/>
          <w:szCs w:val="24"/>
          <w:lang w:val="ro-MD"/>
        </w:rPr>
        <w:t>capacităţii</w:t>
      </w:r>
      <w:proofErr w:type="spellEnd"/>
      <w:r w:rsidRPr="008C29AE">
        <w:rPr>
          <w:rFonts w:ascii="Times New Roman" w:hAnsi="Times New Roman"/>
          <w:sz w:val="24"/>
          <w:szCs w:val="24"/>
          <w:lang w:val="ro-MD"/>
        </w:rPr>
        <w:t xml:space="preserve"> incrementale respective la licitația anuală din 2024 și dacă rezultatele testelor economice sunt pozitive atât pentru SRL „</w:t>
      </w:r>
      <w:proofErr w:type="spellStart"/>
      <w:r w:rsidRPr="008C29AE">
        <w:rPr>
          <w:rFonts w:ascii="Times New Roman" w:hAnsi="Times New Roman"/>
          <w:sz w:val="24"/>
          <w:szCs w:val="24"/>
          <w:lang w:val="ro-MD"/>
        </w:rPr>
        <w:t>Vestmoldtransgaz</w:t>
      </w:r>
      <w:proofErr w:type="spellEnd"/>
      <w:r w:rsidRPr="008C29AE">
        <w:rPr>
          <w:rFonts w:ascii="Times New Roman" w:hAnsi="Times New Roman"/>
          <w:sz w:val="24"/>
          <w:szCs w:val="24"/>
          <w:lang w:val="ro-MD"/>
        </w:rPr>
        <w:t xml:space="preserve">” cât și GTSOU va realiza un test economic, conform exigențelor Codului rețelelor și propunerii de proiect. În cazul în care testele economice realizate de OST vor oferi un rezultat </w:t>
      </w:r>
      <w:r w:rsidRPr="008C29AE">
        <w:rPr>
          <w:rFonts w:ascii="Times New Roman" w:hAnsi="Times New Roman"/>
          <w:sz w:val="24"/>
          <w:szCs w:val="24"/>
          <w:lang w:val="ro-MD"/>
        </w:rPr>
        <w:lastRenderedPageBreak/>
        <w:t xml:space="preserve">pozitiv, va fi demarat un proiect de capacitate incrementală de ambele </w:t>
      </w:r>
      <w:proofErr w:type="spellStart"/>
      <w:r w:rsidRPr="008C29AE">
        <w:rPr>
          <w:rFonts w:ascii="Times New Roman" w:hAnsi="Times New Roman"/>
          <w:sz w:val="24"/>
          <w:szCs w:val="24"/>
          <w:lang w:val="ro-MD"/>
        </w:rPr>
        <w:t>părţi</w:t>
      </w:r>
      <w:proofErr w:type="spellEnd"/>
      <w:r w:rsidRPr="008C29AE">
        <w:rPr>
          <w:rFonts w:ascii="Times New Roman" w:hAnsi="Times New Roman"/>
          <w:sz w:val="24"/>
          <w:szCs w:val="24"/>
          <w:lang w:val="ro-MD"/>
        </w:rPr>
        <w:t xml:space="preserve"> ale unui punct de interconectare,</w:t>
      </w:r>
      <w:r w:rsidRPr="008C29AE">
        <w:rPr>
          <w:rFonts w:ascii="Times New Roman" w:hAnsi="Times New Roman"/>
          <w:sz w:val="24"/>
          <w:szCs w:val="24"/>
          <w:lang w:val="ro-RO"/>
        </w:rPr>
        <w:t xml:space="preserve"> iar în cazul unui rezultat negativ pentru nivelul de ofertă propus, procesul de capacitate incrementală va fi sistat.</w:t>
      </w:r>
    </w:p>
    <w:p w14:paraId="1E48452D" w14:textId="77777777" w:rsidR="001A4113" w:rsidRPr="00D03388" w:rsidRDefault="001A4113" w:rsidP="00EA55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68119878" w14:textId="05F86AAA" w:rsidR="008C29AE" w:rsidRPr="000F0BC5" w:rsidRDefault="008C29AE" w:rsidP="008C29AE">
      <w:pPr>
        <w:pStyle w:val="NormalWeb"/>
        <w:rPr>
          <w:lang w:val="ro-RO"/>
        </w:rPr>
      </w:pPr>
      <w:r>
        <w:rPr>
          <w:b/>
          <w:lang w:val="ro-RO"/>
        </w:rPr>
        <w:t>Informații privind c</w:t>
      </w:r>
      <w:r w:rsidR="001610AB" w:rsidRPr="000F0BC5">
        <w:rPr>
          <w:b/>
          <w:lang w:val="ro-RO"/>
        </w:rPr>
        <w:t>onsultarea</w:t>
      </w:r>
      <w:r w:rsidR="000F0BC5">
        <w:rPr>
          <w:lang w:val="ro-RO"/>
        </w:rPr>
        <w:t xml:space="preserve"> </w:t>
      </w:r>
      <w:r w:rsidR="000F0BC5" w:rsidRPr="000F0BC5">
        <w:rPr>
          <w:b/>
          <w:lang w:val="ro-RO"/>
        </w:rPr>
        <w:t>proiectului de Hotărâre</w:t>
      </w:r>
      <w:r w:rsidR="001610AB" w:rsidRPr="000F0BC5">
        <w:rPr>
          <w:lang w:val="ro-RO"/>
        </w:rPr>
        <w:t xml:space="preserve"> </w:t>
      </w:r>
    </w:p>
    <w:p w14:paraId="37C372AC" w14:textId="16B6DB37" w:rsidR="00D67886" w:rsidRPr="00D03388" w:rsidRDefault="00F6139D" w:rsidP="00EA55E4">
      <w:pPr>
        <w:pStyle w:val="NormalWeb"/>
        <w:rPr>
          <w:lang w:val="ro-RO"/>
        </w:rPr>
      </w:pPr>
      <w:r>
        <w:rPr>
          <w:lang w:val="ro-RO"/>
        </w:rPr>
        <w:t>Î</w:t>
      </w:r>
      <w:r w:rsidR="00D67886" w:rsidRPr="00D03388">
        <w:rPr>
          <w:lang w:val="ro-RO"/>
        </w:rPr>
        <w:t>n conformitate cu art. 8 alin. (7) din Legea cu privire la gazele natura</w:t>
      </w:r>
      <w:r>
        <w:rPr>
          <w:lang w:val="ro-RO"/>
        </w:rPr>
        <w:t xml:space="preserve">le, </w:t>
      </w:r>
      <w:r w:rsidR="00D67886" w:rsidRPr="00D03388">
        <w:rPr>
          <w:lang w:val="ro-RO"/>
        </w:rPr>
        <w:t xml:space="preserve"> pe subiecte ce </w:t>
      </w:r>
      <w:proofErr w:type="spellStart"/>
      <w:r w:rsidR="00D67886" w:rsidRPr="00D03388">
        <w:rPr>
          <w:lang w:val="ro-RO"/>
        </w:rPr>
        <w:t>ţin</w:t>
      </w:r>
      <w:proofErr w:type="spellEnd"/>
      <w:r w:rsidR="00D67886" w:rsidRPr="00D03388">
        <w:rPr>
          <w:lang w:val="ro-RO"/>
        </w:rPr>
        <w:t xml:space="preserve"> de securitatea aprovizionării cu gaze naturale, de interesul economic general sau interesul legitim al </w:t>
      </w:r>
      <w:proofErr w:type="spellStart"/>
      <w:r w:rsidR="00D67886" w:rsidRPr="00D03388">
        <w:rPr>
          <w:lang w:val="ro-RO"/>
        </w:rPr>
        <w:t>participanţilor</w:t>
      </w:r>
      <w:proofErr w:type="spellEnd"/>
      <w:r w:rsidR="00D67886" w:rsidRPr="00D03388">
        <w:rPr>
          <w:lang w:val="ro-RO"/>
        </w:rPr>
        <w:t xml:space="preserve"> </w:t>
      </w:r>
      <w:proofErr w:type="spellStart"/>
      <w:r w:rsidR="00D67886" w:rsidRPr="00D03388">
        <w:rPr>
          <w:lang w:val="ro-RO"/>
        </w:rPr>
        <w:t>pieţei</w:t>
      </w:r>
      <w:proofErr w:type="spellEnd"/>
      <w:r w:rsidR="00D67886" w:rsidRPr="00D03388">
        <w:rPr>
          <w:lang w:val="ro-RO"/>
        </w:rPr>
        <w:t xml:space="preserve"> gazelor naturale, proiectele de hotărâri, proiectele de decizii pot fi supuse elaborării </w:t>
      </w:r>
      <w:proofErr w:type="spellStart"/>
      <w:r w:rsidR="00D67886" w:rsidRPr="00D03388">
        <w:rPr>
          <w:lang w:val="ro-RO"/>
        </w:rPr>
        <w:t>şi</w:t>
      </w:r>
      <w:proofErr w:type="spellEnd"/>
      <w:r w:rsidR="00D67886" w:rsidRPr="00D03388">
        <w:rPr>
          <w:lang w:val="ro-RO"/>
        </w:rPr>
        <w:t xml:space="preserve"> adoptării/emiterii în regim de </w:t>
      </w:r>
      <w:proofErr w:type="spellStart"/>
      <w:r w:rsidR="00D67886" w:rsidRPr="00D03388">
        <w:rPr>
          <w:lang w:val="ro-RO"/>
        </w:rPr>
        <w:t>urgenţă</w:t>
      </w:r>
      <w:proofErr w:type="spellEnd"/>
      <w:r w:rsidR="00D67886" w:rsidRPr="00D03388">
        <w:rPr>
          <w:lang w:val="ro-RO"/>
        </w:rPr>
        <w:t xml:space="preserve">, fără respectarea </w:t>
      </w:r>
      <w:proofErr w:type="spellStart"/>
      <w:r w:rsidR="00D67886" w:rsidRPr="00D03388">
        <w:rPr>
          <w:lang w:val="ro-RO"/>
        </w:rPr>
        <w:t>cerinţelor</w:t>
      </w:r>
      <w:proofErr w:type="spellEnd"/>
      <w:r w:rsidR="00D67886" w:rsidRPr="00D03388">
        <w:rPr>
          <w:lang w:val="ro-RO"/>
        </w:rPr>
        <w:t xml:space="preserve"> privind </w:t>
      </w:r>
      <w:proofErr w:type="spellStart"/>
      <w:r w:rsidR="00D67886" w:rsidRPr="00D03388">
        <w:rPr>
          <w:lang w:val="ro-RO"/>
        </w:rPr>
        <w:t>transparenţa</w:t>
      </w:r>
      <w:proofErr w:type="spellEnd"/>
      <w:r w:rsidR="00D67886" w:rsidRPr="00D03388">
        <w:rPr>
          <w:lang w:val="ro-RO"/>
        </w:rPr>
        <w:t xml:space="preserve"> în procesul decizional prevăzute de Codul administrativ. Argumentarea </w:t>
      </w:r>
      <w:proofErr w:type="spellStart"/>
      <w:r w:rsidR="00D67886" w:rsidRPr="00D03388">
        <w:rPr>
          <w:lang w:val="ro-RO"/>
        </w:rPr>
        <w:t>necesităţii</w:t>
      </w:r>
      <w:proofErr w:type="spellEnd"/>
      <w:r w:rsidR="00D67886" w:rsidRPr="00D03388">
        <w:rPr>
          <w:lang w:val="ro-RO"/>
        </w:rPr>
        <w:t xml:space="preserve"> de a adopta hotărârea/de a emite decizia în regim de </w:t>
      </w:r>
      <w:proofErr w:type="spellStart"/>
      <w:r w:rsidR="00D67886" w:rsidRPr="00D03388">
        <w:rPr>
          <w:lang w:val="ro-RO"/>
        </w:rPr>
        <w:t>urgenţă</w:t>
      </w:r>
      <w:proofErr w:type="spellEnd"/>
      <w:r w:rsidR="00D67886" w:rsidRPr="00D03388">
        <w:rPr>
          <w:lang w:val="ro-RO"/>
        </w:rPr>
        <w:t xml:space="preserve"> va fi adusă la </w:t>
      </w:r>
      <w:proofErr w:type="spellStart"/>
      <w:r w:rsidR="00D67886" w:rsidRPr="00D03388">
        <w:rPr>
          <w:lang w:val="ro-RO"/>
        </w:rPr>
        <w:t>cunoştinţa</w:t>
      </w:r>
      <w:proofErr w:type="spellEnd"/>
      <w:r w:rsidR="00D67886" w:rsidRPr="00D03388">
        <w:rPr>
          <w:lang w:val="ro-RO"/>
        </w:rPr>
        <w:t xml:space="preserve"> publicului în termen de 10 zile lucrătoare de la adoptare/emitere, prin publicare pe pagina web oficială a </w:t>
      </w:r>
      <w:proofErr w:type="spellStart"/>
      <w:r w:rsidR="00D67886" w:rsidRPr="00D03388">
        <w:rPr>
          <w:lang w:val="ro-RO"/>
        </w:rPr>
        <w:t>Agenţiei</w:t>
      </w:r>
      <w:proofErr w:type="spellEnd"/>
      <w:r w:rsidR="00D67886" w:rsidRPr="00D03388">
        <w:rPr>
          <w:lang w:val="ro-RO"/>
        </w:rPr>
        <w:t>.</w:t>
      </w:r>
    </w:p>
    <w:p w14:paraId="0A786BB7" w14:textId="2CFE0A7A" w:rsidR="00D67886" w:rsidRPr="00D03388" w:rsidRDefault="00F6139D" w:rsidP="00EA55E4">
      <w:pPr>
        <w:pStyle w:val="NormalWeb"/>
        <w:rPr>
          <w:lang w:val="ro-RO"/>
        </w:rPr>
      </w:pPr>
      <w:proofErr w:type="spellStart"/>
      <w:r>
        <w:rPr>
          <w:lang w:val="ro-RO"/>
        </w:rPr>
        <w:t>Avînd</w:t>
      </w:r>
      <w:proofErr w:type="spellEnd"/>
      <w:r>
        <w:rPr>
          <w:lang w:val="ro-RO"/>
        </w:rPr>
        <w:t xml:space="preserve"> în vedere că:</w:t>
      </w:r>
    </w:p>
    <w:p w14:paraId="08FB308A" w14:textId="503AF525" w:rsidR="00F6139D" w:rsidRDefault="005213CB" w:rsidP="00EA55E4">
      <w:pPr>
        <w:pStyle w:val="ListParagraph"/>
        <w:numPr>
          <w:ilvl w:val="0"/>
          <w:numId w:val="2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D03388">
        <w:rPr>
          <w:rFonts w:ascii="Times New Roman" w:eastAsia="Times New Roman" w:hAnsi="Times New Roman"/>
          <w:sz w:val="24"/>
          <w:szCs w:val="24"/>
          <w:lang w:val="ro-MD"/>
        </w:rPr>
        <w:t>SRL „</w:t>
      </w:r>
      <w:proofErr w:type="spellStart"/>
      <w:r w:rsidRPr="00D03388">
        <w:rPr>
          <w:rFonts w:ascii="Times New Roman" w:eastAsia="Times New Roman" w:hAnsi="Times New Roman"/>
          <w:sz w:val="24"/>
          <w:szCs w:val="24"/>
          <w:lang w:val="ro-MD"/>
        </w:rPr>
        <w:t>Vestmoldtransgaz</w:t>
      </w:r>
      <w:proofErr w:type="spellEnd"/>
      <w:r w:rsidRPr="00D03388">
        <w:rPr>
          <w:rFonts w:ascii="Times New Roman" w:eastAsia="Times New Roman" w:hAnsi="Times New Roman"/>
          <w:sz w:val="24"/>
          <w:szCs w:val="24"/>
          <w:lang w:val="ro-MD"/>
        </w:rPr>
        <w:t>” și GTSOU</w:t>
      </w:r>
      <w:r w:rsidR="008672E5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din Ucraina</w:t>
      </w:r>
      <w:r w:rsidRPr="00D03388">
        <w:rPr>
          <w:rFonts w:ascii="Times New Roman" w:eastAsia="Times New Roman" w:hAnsi="Times New Roman"/>
          <w:sz w:val="24"/>
          <w:szCs w:val="24"/>
          <w:lang w:val="ro-MD"/>
        </w:rPr>
        <w:t>, au prezentat la ANRE propunere</w:t>
      </w:r>
      <w:r w:rsidR="001610AB">
        <w:rPr>
          <w:rFonts w:ascii="Times New Roman" w:eastAsia="Times New Roman" w:hAnsi="Times New Roman"/>
          <w:sz w:val="24"/>
          <w:szCs w:val="24"/>
          <w:lang w:val="ro-MD"/>
        </w:rPr>
        <w:t>a</w:t>
      </w:r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comună de Proiect </w:t>
      </w:r>
      <w:r w:rsidR="00EA55E4">
        <w:rPr>
          <w:rFonts w:ascii="Times New Roman" w:eastAsia="Times New Roman" w:hAnsi="Times New Roman"/>
          <w:sz w:val="24"/>
          <w:szCs w:val="24"/>
          <w:lang w:val="ro-MD"/>
        </w:rPr>
        <w:t>pentru</w:t>
      </w:r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capacitate</w:t>
      </w:r>
      <w:r w:rsidR="00EA55E4">
        <w:rPr>
          <w:rFonts w:ascii="Times New Roman" w:eastAsia="Times New Roman" w:hAnsi="Times New Roman"/>
          <w:sz w:val="24"/>
          <w:szCs w:val="24"/>
          <w:lang w:val="ro-MD"/>
        </w:rPr>
        <w:t>a</w:t>
      </w:r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incrementală pentru a obține o aprobare</w:t>
      </w:r>
      <w:r w:rsidR="00F6139D">
        <w:rPr>
          <w:rFonts w:ascii="Times New Roman" w:eastAsia="Times New Roman" w:hAnsi="Times New Roman"/>
          <w:sz w:val="24"/>
          <w:szCs w:val="24"/>
          <w:lang w:val="ro-MD"/>
        </w:rPr>
        <w:t xml:space="preserve"> coordonată</w:t>
      </w:r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din partea </w:t>
      </w:r>
      <w:r w:rsidR="008672E5" w:rsidRPr="00D03388">
        <w:rPr>
          <w:rFonts w:ascii="Times New Roman" w:eastAsia="Times New Roman" w:hAnsi="Times New Roman"/>
          <w:sz w:val="24"/>
          <w:szCs w:val="24"/>
          <w:lang w:val="ro-MD"/>
        </w:rPr>
        <w:t>ANRE</w:t>
      </w:r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și NEURC</w:t>
      </w:r>
      <w:r w:rsidR="00F6139D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</w:p>
    <w:p w14:paraId="69913E39" w14:textId="6736F820" w:rsidR="00F6139D" w:rsidRDefault="00F6139D" w:rsidP="00EA55E4">
      <w:pPr>
        <w:pStyle w:val="ListParagraph"/>
        <w:numPr>
          <w:ilvl w:val="0"/>
          <w:numId w:val="2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>
        <w:rPr>
          <w:rFonts w:ascii="Times New Roman" w:eastAsia="Times New Roman" w:hAnsi="Times New Roman"/>
          <w:sz w:val="24"/>
          <w:szCs w:val="24"/>
          <w:lang w:val="ro-MD"/>
        </w:rPr>
        <w:t xml:space="preserve">Subiectul vizează aspecte transfrontaliere și care necesită acțiuni coordonate din partea autorităților </w:t>
      </w:r>
      <w:r w:rsidR="005B0986">
        <w:rPr>
          <w:rFonts w:ascii="Times New Roman" w:eastAsia="Times New Roman" w:hAnsi="Times New Roman"/>
          <w:sz w:val="24"/>
          <w:szCs w:val="24"/>
          <w:lang w:val="ro-MD"/>
        </w:rPr>
        <w:t xml:space="preserve">naționale </w:t>
      </w:r>
      <w:r>
        <w:rPr>
          <w:rFonts w:ascii="Times New Roman" w:eastAsia="Times New Roman" w:hAnsi="Times New Roman"/>
          <w:sz w:val="24"/>
          <w:szCs w:val="24"/>
          <w:lang w:val="ro-MD"/>
        </w:rPr>
        <w:t>de reglementare;</w:t>
      </w:r>
    </w:p>
    <w:p w14:paraId="388C72E8" w14:textId="6E20B434" w:rsidR="005213CB" w:rsidRPr="00D03388" w:rsidRDefault="005213CB" w:rsidP="00EA55E4">
      <w:pPr>
        <w:pStyle w:val="ListParagraph"/>
        <w:numPr>
          <w:ilvl w:val="0"/>
          <w:numId w:val="2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="00040406">
        <w:rPr>
          <w:rFonts w:ascii="Times New Roman" w:eastAsia="Times New Roman" w:hAnsi="Times New Roman"/>
          <w:sz w:val="24"/>
          <w:szCs w:val="24"/>
          <w:lang w:val="ro-MD"/>
        </w:rPr>
        <w:t xml:space="preserve">Solicitarea </w:t>
      </w:r>
      <w:r w:rsidR="00F6139D" w:rsidRPr="00D03388">
        <w:rPr>
          <w:rFonts w:ascii="Times New Roman" w:eastAsia="Times New Roman" w:hAnsi="Times New Roman"/>
          <w:sz w:val="24"/>
          <w:szCs w:val="24"/>
          <w:lang w:val="ro-MD"/>
        </w:rPr>
        <w:t>SRL „</w:t>
      </w:r>
      <w:proofErr w:type="spellStart"/>
      <w:r w:rsidR="00F6139D" w:rsidRPr="00D03388">
        <w:rPr>
          <w:rFonts w:ascii="Times New Roman" w:eastAsia="Times New Roman" w:hAnsi="Times New Roman"/>
          <w:sz w:val="24"/>
          <w:szCs w:val="24"/>
          <w:lang w:val="ro-MD"/>
        </w:rPr>
        <w:t>Vestmoldtransgaz</w:t>
      </w:r>
      <w:proofErr w:type="spellEnd"/>
      <w:r w:rsidR="00F6139D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” </w:t>
      </w:r>
      <w:r w:rsidR="00040406">
        <w:rPr>
          <w:rFonts w:ascii="Times New Roman" w:eastAsia="Times New Roman" w:hAnsi="Times New Roman"/>
          <w:sz w:val="24"/>
          <w:szCs w:val="24"/>
          <w:lang w:val="ro-MD"/>
        </w:rPr>
        <w:t xml:space="preserve">de </w:t>
      </w:r>
      <w:r w:rsidR="005B0986">
        <w:rPr>
          <w:rFonts w:ascii="Times New Roman" w:eastAsia="Times New Roman" w:hAnsi="Times New Roman"/>
          <w:sz w:val="24"/>
          <w:szCs w:val="24"/>
          <w:lang w:val="ro-MD"/>
        </w:rPr>
        <w:t>aprobare</w:t>
      </w:r>
      <w:r w:rsidR="00040406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="005B0986">
        <w:rPr>
          <w:rFonts w:ascii="Times New Roman" w:eastAsia="Times New Roman" w:hAnsi="Times New Roman"/>
          <w:sz w:val="24"/>
          <w:szCs w:val="24"/>
          <w:lang w:val="ro-MD"/>
        </w:rPr>
        <w:t xml:space="preserve">a Propunerii de </w:t>
      </w:r>
      <w:proofErr w:type="spellStart"/>
      <w:r w:rsidR="005B0986">
        <w:rPr>
          <w:rFonts w:ascii="Times New Roman" w:eastAsia="Times New Roman" w:hAnsi="Times New Roman"/>
          <w:sz w:val="24"/>
          <w:szCs w:val="24"/>
          <w:lang w:val="ro-MD"/>
        </w:rPr>
        <w:t>proiet</w:t>
      </w:r>
      <w:proofErr w:type="spellEnd"/>
      <w:r w:rsidR="005B0986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="008672E5" w:rsidRPr="00D03388">
        <w:rPr>
          <w:rFonts w:ascii="Times New Roman" w:eastAsia="Times New Roman" w:hAnsi="Times New Roman"/>
          <w:sz w:val="24"/>
          <w:szCs w:val="24"/>
          <w:lang w:val="ro-MD"/>
        </w:rPr>
        <w:t>p</w:t>
      </w:r>
      <w:r w:rsidR="00040406">
        <w:rPr>
          <w:rFonts w:ascii="Times New Roman" w:eastAsia="Times New Roman" w:hAnsi="Times New Roman"/>
          <w:sz w:val="24"/>
          <w:szCs w:val="24"/>
          <w:lang w:val="ro-MD"/>
        </w:rPr>
        <w:t>â</w:t>
      </w:r>
      <w:r w:rsidR="008672E5" w:rsidRPr="00D03388">
        <w:rPr>
          <w:rFonts w:ascii="Times New Roman" w:eastAsia="Times New Roman" w:hAnsi="Times New Roman"/>
          <w:sz w:val="24"/>
          <w:szCs w:val="24"/>
          <w:lang w:val="ro-MD"/>
        </w:rPr>
        <w:t>nă la data de 30.04.2024</w:t>
      </w:r>
      <w:r w:rsidR="00040406">
        <w:rPr>
          <w:rFonts w:ascii="Times New Roman" w:eastAsia="Times New Roman" w:hAnsi="Times New Roman"/>
          <w:sz w:val="24"/>
          <w:szCs w:val="24"/>
          <w:lang w:val="ro-MD"/>
        </w:rPr>
        <w:t>,</w:t>
      </w:r>
      <w:r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proofErr w:type="spellStart"/>
      <w:r w:rsidR="008672E5" w:rsidRPr="00D03388">
        <w:rPr>
          <w:rFonts w:ascii="Times New Roman" w:eastAsia="Times New Roman" w:hAnsi="Times New Roman"/>
          <w:sz w:val="24"/>
          <w:szCs w:val="24"/>
          <w:lang w:val="ro-MD"/>
        </w:rPr>
        <w:t>ținînd</w:t>
      </w:r>
      <w:proofErr w:type="spellEnd"/>
      <w:r w:rsidR="008672E5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cont </w:t>
      </w:r>
      <w:r w:rsidR="0088016F" w:rsidRPr="00D03388">
        <w:rPr>
          <w:rFonts w:ascii="Times New Roman" w:eastAsia="Times New Roman" w:hAnsi="Times New Roman"/>
          <w:sz w:val="24"/>
          <w:szCs w:val="24"/>
          <w:lang w:val="ro-MD"/>
        </w:rPr>
        <w:t>de intenția</w:t>
      </w:r>
      <w:r w:rsidR="005B0986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="005B0986" w:rsidRPr="00D03388">
        <w:rPr>
          <w:rFonts w:ascii="Times New Roman" w:eastAsia="Times New Roman" w:hAnsi="Times New Roman"/>
          <w:sz w:val="24"/>
          <w:szCs w:val="24"/>
          <w:lang w:val="ro-MD"/>
        </w:rPr>
        <w:t>SRL „</w:t>
      </w:r>
      <w:proofErr w:type="spellStart"/>
      <w:r w:rsidR="005B0986" w:rsidRPr="00D03388">
        <w:rPr>
          <w:rFonts w:ascii="Times New Roman" w:eastAsia="Times New Roman" w:hAnsi="Times New Roman"/>
          <w:sz w:val="24"/>
          <w:szCs w:val="24"/>
          <w:lang w:val="ro-MD"/>
        </w:rPr>
        <w:t>Vestmoldtransgaz</w:t>
      </w:r>
      <w:proofErr w:type="spellEnd"/>
      <w:r w:rsidR="005B0986" w:rsidRPr="00D03388">
        <w:rPr>
          <w:rFonts w:ascii="Times New Roman" w:eastAsia="Times New Roman" w:hAnsi="Times New Roman"/>
          <w:sz w:val="24"/>
          <w:szCs w:val="24"/>
          <w:lang w:val="ro-MD"/>
        </w:rPr>
        <w:t>” și GTSOU din Ucraina</w:t>
      </w:r>
      <w:r w:rsidR="0088016F" w:rsidRPr="00D03388">
        <w:rPr>
          <w:rFonts w:ascii="Times New Roman" w:eastAsia="Times New Roman" w:hAnsi="Times New Roman"/>
          <w:sz w:val="24"/>
          <w:szCs w:val="24"/>
          <w:lang w:val="ro-MD"/>
        </w:rPr>
        <w:t xml:space="preserve"> de a participa la licitația capacităților anuale pe platforma RBP din iulie 2024;</w:t>
      </w:r>
      <w:r w:rsidR="005B0986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</w:p>
    <w:p w14:paraId="3CF3B721" w14:textId="61BBAA39" w:rsidR="00D67886" w:rsidRPr="00D03388" w:rsidRDefault="00190148" w:rsidP="00EA55E4">
      <w:pPr>
        <w:pStyle w:val="NormalWeb"/>
        <w:numPr>
          <w:ilvl w:val="0"/>
          <w:numId w:val="20"/>
        </w:numPr>
        <w:ind w:left="0"/>
        <w:rPr>
          <w:lang w:val="ro-RO"/>
        </w:rPr>
      </w:pPr>
      <w:r w:rsidRPr="00D03388">
        <w:rPr>
          <w:lang w:val="ro-RO"/>
        </w:rPr>
        <w:t>OST</w:t>
      </w:r>
      <w:r w:rsidR="005B0986">
        <w:rPr>
          <w:lang w:val="ro-RO"/>
        </w:rPr>
        <w:t xml:space="preserve"> a prezentat informații privind </w:t>
      </w:r>
      <w:r w:rsidRPr="00D03388">
        <w:rPr>
          <w:lang w:val="ro-RO"/>
        </w:rPr>
        <w:t>realiza</w:t>
      </w:r>
      <w:r w:rsidR="005B0986">
        <w:rPr>
          <w:lang w:val="ro-RO"/>
        </w:rPr>
        <w:t xml:space="preserve">rea </w:t>
      </w:r>
      <w:r w:rsidRPr="00D03388">
        <w:rPr>
          <w:lang w:val="ro-RO"/>
        </w:rPr>
        <w:t>consult</w:t>
      </w:r>
      <w:r w:rsidR="00040406">
        <w:rPr>
          <w:lang w:val="ro-RO"/>
        </w:rPr>
        <w:t>ărilor</w:t>
      </w:r>
      <w:r w:rsidR="005B0986">
        <w:rPr>
          <w:lang w:val="ro-RO"/>
        </w:rPr>
        <w:t xml:space="preserve"> public</w:t>
      </w:r>
      <w:r w:rsidR="00040406">
        <w:rPr>
          <w:lang w:val="ro-RO"/>
        </w:rPr>
        <w:t>e</w:t>
      </w:r>
      <w:r w:rsidRPr="00D03388">
        <w:rPr>
          <w:lang w:val="ro-RO"/>
        </w:rPr>
        <w:t xml:space="preserve"> a</w:t>
      </w:r>
      <w:r w:rsidR="005B0986">
        <w:rPr>
          <w:lang w:val="ro-RO"/>
        </w:rPr>
        <w:t xml:space="preserve"> propunerii de </w:t>
      </w:r>
      <w:r w:rsidRPr="00D03388">
        <w:rPr>
          <w:lang w:val="ro-RO"/>
        </w:rPr>
        <w:t>proiect</w:t>
      </w:r>
      <w:r w:rsidR="005B0986">
        <w:rPr>
          <w:lang w:val="ro-RO"/>
        </w:rPr>
        <w:t xml:space="preserve"> în perioada </w:t>
      </w:r>
      <w:r w:rsidR="005B0986" w:rsidRPr="00D03388">
        <w:rPr>
          <w:i/>
          <w:lang w:val="ro-MD"/>
        </w:rPr>
        <w:t>1.02.2024 - 29.02.2024</w:t>
      </w:r>
      <w:r w:rsidR="005B0986">
        <w:rPr>
          <w:i/>
          <w:lang w:val="ro-MD"/>
        </w:rPr>
        <w:t>;</w:t>
      </w:r>
    </w:p>
    <w:p w14:paraId="53E4456F" w14:textId="419DDC2C" w:rsidR="008672E5" w:rsidRPr="00D03388" w:rsidRDefault="00190148" w:rsidP="00EA55E4">
      <w:pPr>
        <w:pStyle w:val="NormalWeb"/>
        <w:numPr>
          <w:ilvl w:val="0"/>
          <w:numId w:val="20"/>
        </w:numPr>
        <w:ind w:left="0"/>
        <w:rPr>
          <w:lang w:val="ro-RO"/>
        </w:rPr>
      </w:pPr>
      <w:r w:rsidRPr="00D03388">
        <w:rPr>
          <w:lang w:val="ro-MD"/>
        </w:rPr>
        <w:t>Comisi</w:t>
      </w:r>
      <w:r w:rsidR="005B0986">
        <w:rPr>
          <w:lang w:val="ro-MD"/>
        </w:rPr>
        <w:t>a</w:t>
      </w:r>
      <w:r w:rsidRPr="00D03388">
        <w:rPr>
          <w:lang w:val="ro-MD"/>
        </w:rPr>
        <w:t xml:space="preserve"> Național</w:t>
      </w:r>
      <w:r w:rsidR="005B0986">
        <w:rPr>
          <w:lang w:val="ro-MD"/>
        </w:rPr>
        <w:t>ă</w:t>
      </w:r>
      <w:r w:rsidRPr="00D03388">
        <w:rPr>
          <w:lang w:val="ro-MD"/>
        </w:rPr>
        <w:t xml:space="preserve"> de Reglementare a Energiei și Utilităților din Ucraina (NEURC)</w:t>
      </w:r>
      <w:r w:rsidR="005B0986">
        <w:rPr>
          <w:lang w:val="ro-MD"/>
        </w:rPr>
        <w:t xml:space="preserve"> </w:t>
      </w:r>
      <w:r w:rsidR="000F0BC5">
        <w:rPr>
          <w:lang w:val="ro-MD"/>
        </w:rPr>
        <w:t>a</w:t>
      </w:r>
      <w:r w:rsidR="005B0986">
        <w:rPr>
          <w:lang w:val="ro-MD"/>
        </w:rPr>
        <w:t xml:space="preserve"> expediat la ANRE scrisoarea</w:t>
      </w:r>
      <w:r w:rsidR="008672E5" w:rsidRPr="00D03388">
        <w:rPr>
          <w:lang w:val="ro-MD"/>
        </w:rPr>
        <w:t xml:space="preserve"> </w:t>
      </w:r>
      <w:r w:rsidR="008672E5" w:rsidRPr="005B0986">
        <w:rPr>
          <w:i/>
          <w:lang w:val="ro-MD"/>
        </w:rPr>
        <w:t>nr. 3767/13 din 10.04.2024</w:t>
      </w:r>
      <w:r w:rsidR="008672E5" w:rsidRPr="00D03388">
        <w:rPr>
          <w:lang w:val="ro-MD"/>
        </w:rPr>
        <w:t xml:space="preserve"> și </w:t>
      </w:r>
      <w:r w:rsidR="008672E5" w:rsidRPr="005B0986">
        <w:rPr>
          <w:i/>
          <w:lang w:val="ro-MD"/>
        </w:rPr>
        <w:t>scrisoare nr. 4368/13.24-24</w:t>
      </w:r>
      <w:r w:rsidR="008672E5" w:rsidRPr="00D03388">
        <w:rPr>
          <w:lang w:val="ro-MD"/>
        </w:rPr>
        <w:t xml:space="preserve"> din </w:t>
      </w:r>
      <w:r w:rsidR="008672E5" w:rsidRPr="005B0986">
        <w:rPr>
          <w:i/>
          <w:lang w:val="ro-MD"/>
        </w:rPr>
        <w:t>23.04.2024</w:t>
      </w:r>
      <w:r w:rsidR="008672E5" w:rsidRPr="00D03388">
        <w:rPr>
          <w:lang w:val="ro-MD"/>
        </w:rPr>
        <w:t xml:space="preserve"> privind disponibilitatea aprobării deciziei coordonate între autoritățile </w:t>
      </w:r>
      <w:proofErr w:type="spellStart"/>
      <w:r w:rsidR="008672E5" w:rsidRPr="00D03388">
        <w:rPr>
          <w:lang w:val="ro-MD"/>
        </w:rPr>
        <w:t>națioan</w:t>
      </w:r>
      <w:r w:rsidR="005B0986">
        <w:rPr>
          <w:lang w:val="ro-MD"/>
        </w:rPr>
        <w:t>a</w:t>
      </w:r>
      <w:r w:rsidR="008672E5" w:rsidRPr="00D03388">
        <w:rPr>
          <w:lang w:val="ro-MD"/>
        </w:rPr>
        <w:t>le</w:t>
      </w:r>
      <w:proofErr w:type="spellEnd"/>
      <w:r w:rsidR="008672E5" w:rsidRPr="00D03388">
        <w:rPr>
          <w:lang w:val="ro-MD"/>
        </w:rPr>
        <w:t xml:space="preserve"> de reglementare</w:t>
      </w:r>
      <w:r w:rsidR="005B0986">
        <w:rPr>
          <w:lang w:val="ro-MD"/>
        </w:rPr>
        <w:t xml:space="preserve"> la data de </w:t>
      </w:r>
      <w:r w:rsidR="005B0986" w:rsidRPr="005B0986">
        <w:rPr>
          <w:b/>
          <w:u w:val="single"/>
          <w:lang w:val="ro-MD"/>
        </w:rPr>
        <w:t>30.04.2024</w:t>
      </w:r>
      <w:r w:rsidR="008672E5" w:rsidRPr="00D03388">
        <w:rPr>
          <w:lang w:val="ro-MD"/>
        </w:rPr>
        <w:t>;</w:t>
      </w:r>
    </w:p>
    <w:p w14:paraId="17BF1EFA" w14:textId="220C84BC" w:rsidR="005213CB" w:rsidRPr="00EA55E4" w:rsidRDefault="00190148" w:rsidP="00520539">
      <w:pPr>
        <w:pStyle w:val="NormalWeb"/>
        <w:numPr>
          <w:ilvl w:val="0"/>
          <w:numId w:val="20"/>
        </w:numPr>
        <w:ind w:left="0"/>
        <w:rPr>
          <w:lang w:val="en-US"/>
        </w:rPr>
      </w:pPr>
      <w:r w:rsidRPr="005B0986">
        <w:rPr>
          <w:lang w:val="ro-MD"/>
        </w:rPr>
        <w:t xml:space="preserve">ANRE Romania </w:t>
      </w:r>
      <w:r w:rsidR="005B0986">
        <w:rPr>
          <w:lang w:val="ro-MD"/>
        </w:rPr>
        <w:t xml:space="preserve">a aprobat </w:t>
      </w:r>
      <w:r w:rsidRPr="005B0986">
        <w:rPr>
          <w:lang w:val="ro-MD"/>
        </w:rPr>
        <w:t xml:space="preserve">la data de 22.04.2024 </w:t>
      </w:r>
      <w:r w:rsidRPr="005B0986">
        <w:rPr>
          <w:i/>
          <w:lang w:val="ro-MD"/>
        </w:rPr>
        <w:t>Decizi</w:t>
      </w:r>
      <w:r w:rsidR="005B0986" w:rsidRPr="005B0986">
        <w:rPr>
          <w:i/>
          <w:lang w:val="ro-MD"/>
        </w:rPr>
        <w:t>a</w:t>
      </w:r>
      <w:r w:rsidRPr="005B0986">
        <w:rPr>
          <w:i/>
          <w:lang w:val="ro-MD"/>
        </w:rPr>
        <w:t xml:space="preserve"> </w:t>
      </w:r>
      <w:r w:rsidR="006C5A9C" w:rsidRPr="005B0986">
        <w:rPr>
          <w:i/>
          <w:lang w:val="ro-MD"/>
        </w:rPr>
        <w:t xml:space="preserve">privind </w:t>
      </w:r>
      <w:r w:rsidRPr="005B0986">
        <w:rPr>
          <w:i/>
          <w:lang w:val="ro-MD"/>
        </w:rPr>
        <w:t xml:space="preserve">aprobare a proiectului de capacitate incrementală între sistemele de transport al gazelor naturale ale </w:t>
      </w:r>
      <w:proofErr w:type="spellStart"/>
      <w:r w:rsidRPr="005B0986">
        <w:rPr>
          <w:i/>
          <w:lang w:val="ro-MD"/>
        </w:rPr>
        <w:t>Romaniei</w:t>
      </w:r>
      <w:proofErr w:type="spellEnd"/>
      <w:r w:rsidRPr="005B0986">
        <w:rPr>
          <w:i/>
          <w:lang w:val="ro-MD"/>
        </w:rPr>
        <w:t xml:space="preserve"> și Ucrainei în punctul de interconectare comun Isaccea 1/</w:t>
      </w:r>
      <w:proofErr w:type="spellStart"/>
      <w:r w:rsidRPr="005B0986">
        <w:rPr>
          <w:i/>
          <w:lang w:val="ro-MD"/>
        </w:rPr>
        <w:t>Orlovka</w:t>
      </w:r>
      <w:proofErr w:type="spellEnd"/>
      <w:r w:rsidRPr="005B0986">
        <w:rPr>
          <w:i/>
          <w:lang w:val="ro-MD"/>
        </w:rPr>
        <w:t xml:space="preserve"> 1</w:t>
      </w:r>
      <w:r w:rsidR="00CA427B" w:rsidRPr="005B0986">
        <w:rPr>
          <w:i/>
          <w:lang w:val="ro-MD"/>
        </w:rPr>
        <w:t>.</w:t>
      </w:r>
      <w:r w:rsidR="00CA427B" w:rsidRPr="005B0986">
        <w:rPr>
          <w:lang w:val="ro-MD"/>
        </w:rPr>
        <w:t xml:space="preserve"> </w:t>
      </w:r>
      <w:r w:rsidR="00C769CE">
        <w:rPr>
          <w:lang w:val="ro-MD"/>
        </w:rPr>
        <w:t>(</w:t>
      </w:r>
      <w:r w:rsidR="00CA427B" w:rsidRPr="005B0986">
        <w:rPr>
          <w:lang w:val="ro-MD"/>
        </w:rPr>
        <w:t xml:space="preserve">Una dintre condiții pentru oferirea capacității ferme de către OST este </w:t>
      </w:r>
      <w:r w:rsidR="000F0BC5">
        <w:rPr>
          <w:lang w:val="ro-MD"/>
        </w:rPr>
        <w:t xml:space="preserve">existența </w:t>
      </w:r>
      <w:r w:rsidR="00CA427B" w:rsidRPr="005B0986">
        <w:rPr>
          <w:lang w:val="ro-MD"/>
        </w:rPr>
        <w:t>capacit</w:t>
      </w:r>
      <w:r w:rsidR="000F0BC5">
        <w:rPr>
          <w:lang w:val="ro-MD"/>
        </w:rPr>
        <w:t>ății</w:t>
      </w:r>
      <w:r w:rsidR="00CA427B" w:rsidRPr="005B0986">
        <w:rPr>
          <w:lang w:val="ro-MD"/>
        </w:rPr>
        <w:t xml:space="preserve"> ferm</w:t>
      </w:r>
      <w:r w:rsidR="000F0BC5">
        <w:rPr>
          <w:lang w:val="ro-MD"/>
        </w:rPr>
        <w:t>e</w:t>
      </w:r>
      <w:r w:rsidR="00CA427B" w:rsidRPr="005B0986">
        <w:rPr>
          <w:lang w:val="ro-MD"/>
        </w:rPr>
        <w:t xml:space="preserve"> </w:t>
      </w:r>
      <w:r w:rsidR="000F0BC5">
        <w:rPr>
          <w:lang w:val="ro-MD"/>
        </w:rPr>
        <w:t>la</w:t>
      </w:r>
      <w:r w:rsidR="00CA427B" w:rsidRPr="005B0986">
        <w:rPr>
          <w:lang w:val="ro-MD"/>
        </w:rPr>
        <w:t xml:space="preserve"> PI Isaccea</w:t>
      </w:r>
      <w:r w:rsidR="00040406">
        <w:rPr>
          <w:lang w:val="ro-MD"/>
        </w:rPr>
        <w:t xml:space="preserve"> </w:t>
      </w:r>
      <w:r w:rsidR="00CA427B" w:rsidRPr="005B0986">
        <w:rPr>
          <w:lang w:val="ro-MD"/>
        </w:rPr>
        <w:t>1/</w:t>
      </w:r>
      <w:proofErr w:type="spellStart"/>
      <w:r w:rsidR="00CA427B" w:rsidRPr="005B0986">
        <w:rPr>
          <w:lang w:val="ro-MD"/>
        </w:rPr>
        <w:t>Orlovka</w:t>
      </w:r>
      <w:proofErr w:type="spellEnd"/>
      <w:r w:rsidR="00040406">
        <w:rPr>
          <w:lang w:val="ro-MD"/>
        </w:rPr>
        <w:t xml:space="preserve"> </w:t>
      </w:r>
      <w:r w:rsidR="00CA427B" w:rsidRPr="005B0986">
        <w:rPr>
          <w:lang w:val="ro-MD"/>
        </w:rPr>
        <w:t xml:space="preserve">1 între GTSOU și SNTGN </w:t>
      </w:r>
      <w:r w:rsidR="00CA427B" w:rsidRPr="00EA55E4">
        <w:rPr>
          <w:lang w:val="en-US"/>
        </w:rPr>
        <w:t>TRANSGAZ SA</w:t>
      </w:r>
      <w:r w:rsidR="00C769CE" w:rsidRPr="00EA55E4">
        <w:rPr>
          <w:lang w:val="en-US"/>
        </w:rPr>
        <w:t>).</w:t>
      </w:r>
    </w:p>
    <w:p w14:paraId="59BFB06B" w14:textId="36481984" w:rsidR="005213CB" w:rsidRPr="00EA55E4" w:rsidRDefault="00C769CE" w:rsidP="00520539">
      <w:pPr>
        <w:pStyle w:val="NormalWeb"/>
        <w:numPr>
          <w:ilvl w:val="0"/>
          <w:numId w:val="20"/>
        </w:numPr>
        <w:ind w:left="0"/>
        <w:rPr>
          <w:lang w:val="en-US"/>
        </w:rPr>
      </w:pPr>
      <w:proofErr w:type="spellStart"/>
      <w:r w:rsidRPr="00EA55E4">
        <w:rPr>
          <w:lang w:val="en-US"/>
        </w:rPr>
        <w:t>Există</w:t>
      </w:r>
      <w:proofErr w:type="spellEnd"/>
      <w:r w:rsidRPr="00EA55E4">
        <w:rPr>
          <w:lang w:val="en-US"/>
        </w:rPr>
        <w:t xml:space="preserve"> un </w:t>
      </w:r>
      <w:proofErr w:type="spellStart"/>
      <w:r w:rsidRPr="00EA55E4">
        <w:rPr>
          <w:lang w:val="en-US"/>
        </w:rPr>
        <w:t>angajament</w:t>
      </w:r>
      <w:proofErr w:type="spellEnd"/>
      <w:r w:rsidRPr="00EA55E4">
        <w:rPr>
          <w:lang w:val="en-US"/>
        </w:rPr>
        <w:t xml:space="preserve"> </w:t>
      </w:r>
      <w:proofErr w:type="spellStart"/>
      <w:r w:rsidRPr="00EA55E4">
        <w:rPr>
          <w:lang w:val="en-US"/>
        </w:rPr>
        <w:t>ferm</w:t>
      </w:r>
      <w:proofErr w:type="spellEnd"/>
      <w:r w:rsidRPr="00EA55E4">
        <w:rPr>
          <w:lang w:val="en-US"/>
        </w:rPr>
        <w:t xml:space="preserve"> de </w:t>
      </w:r>
      <w:proofErr w:type="spellStart"/>
      <w:r w:rsidR="006C5A9C" w:rsidRPr="00D03388">
        <w:rPr>
          <w:lang w:val="en-US"/>
        </w:rPr>
        <w:t>promov</w:t>
      </w:r>
      <w:r>
        <w:rPr>
          <w:lang w:val="en-US"/>
        </w:rPr>
        <w:t>are</w:t>
      </w:r>
      <w:proofErr w:type="spellEnd"/>
      <w:r>
        <w:rPr>
          <w:lang w:val="en-US"/>
        </w:rPr>
        <w:t xml:space="preserve"> a</w:t>
      </w:r>
      <w:r w:rsidR="006C5A9C" w:rsidRPr="00D03388">
        <w:rPr>
          <w:lang w:val="en-US"/>
        </w:rPr>
        <w:t xml:space="preserve"> </w:t>
      </w:r>
      <w:proofErr w:type="spellStart"/>
      <w:r>
        <w:rPr>
          <w:lang w:val="en-US"/>
        </w:rPr>
        <w:t>C</w:t>
      </w:r>
      <w:r w:rsidR="006C5A9C" w:rsidRPr="00D03388">
        <w:rPr>
          <w:lang w:val="en-US"/>
        </w:rPr>
        <w:t>oridorului</w:t>
      </w:r>
      <w:proofErr w:type="spellEnd"/>
      <w:r w:rsidR="006C5A9C" w:rsidRPr="00D03388">
        <w:rPr>
          <w:lang w:val="en-US"/>
        </w:rPr>
        <w:t xml:space="preserve"> vertical de gaze </w:t>
      </w:r>
      <w:proofErr w:type="spellStart"/>
      <w:r w:rsidR="006C5A9C" w:rsidRPr="00D03388">
        <w:rPr>
          <w:lang w:val="en-US"/>
        </w:rPr>
        <w:t>natural</w:t>
      </w:r>
      <w:r>
        <w:rPr>
          <w:lang w:val="en-US"/>
        </w:rPr>
        <w:t>e</w:t>
      </w:r>
      <w:proofErr w:type="spellEnd"/>
      <w:r w:rsidR="006C5A9C" w:rsidRPr="00D03388">
        <w:rPr>
          <w:lang w:val="en-US"/>
        </w:rPr>
        <w:t xml:space="preserve"> care </w:t>
      </w:r>
      <w:proofErr w:type="spellStart"/>
      <w:r w:rsidR="006C5A9C" w:rsidRPr="00D03388">
        <w:rPr>
          <w:lang w:val="en-US"/>
        </w:rPr>
        <w:t>prevede</w:t>
      </w:r>
      <w:proofErr w:type="spellEnd"/>
      <w:r w:rsidR="006C5A9C" w:rsidRPr="00D03388">
        <w:rPr>
          <w:lang w:val="en-US"/>
        </w:rPr>
        <w:t xml:space="preserve"> </w:t>
      </w:r>
      <w:proofErr w:type="spellStart"/>
      <w:r w:rsidR="005213CB" w:rsidRPr="00D03388">
        <w:rPr>
          <w:lang w:val="en-US"/>
        </w:rPr>
        <w:t>cooperarea</w:t>
      </w:r>
      <w:proofErr w:type="spellEnd"/>
      <w:r w:rsidR="005213CB" w:rsidRPr="00D03388">
        <w:rPr>
          <w:lang w:val="en-US"/>
        </w:rPr>
        <w:t xml:space="preserve"> </w:t>
      </w:r>
      <w:proofErr w:type="spellStart"/>
      <w:r w:rsidR="005213CB" w:rsidRPr="00D03388">
        <w:rPr>
          <w:lang w:val="en-US"/>
        </w:rPr>
        <w:t>dintre</w:t>
      </w:r>
      <w:proofErr w:type="spellEnd"/>
      <w:r w:rsidR="005213CB" w:rsidRPr="00D03388">
        <w:rPr>
          <w:lang w:val="en-US"/>
        </w:rPr>
        <w:t xml:space="preserve"> OST </w:t>
      </w:r>
      <w:proofErr w:type="spellStart"/>
      <w:r w:rsidR="005213CB" w:rsidRPr="00D03388">
        <w:rPr>
          <w:lang w:val="en-US"/>
        </w:rPr>
        <w:t>adiacenţi</w:t>
      </w:r>
      <w:proofErr w:type="spellEnd"/>
      <w:r w:rsidR="005213CB" w:rsidRPr="00D03388">
        <w:rPr>
          <w:lang w:val="en-US"/>
        </w:rPr>
        <w:t xml:space="preserve"> </w:t>
      </w:r>
      <w:proofErr w:type="spellStart"/>
      <w:r w:rsidR="005213CB" w:rsidRPr="00D03388">
        <w:rPr>
          <w:lang w:val="en-US"/>
        </w:rPr>
        <w:t>pentru</w:t>
      </w:r>
      <w:proofErr w:type="spellEnd"/>
      <w:r w:rsidR="005213CB" w:rsidRPr="00D03388">
        <w:rPr>
          <w:lang w:val="en-US"/>
        </w:rPr>
        <w:t xml:space="preserve"> a </w:t>
      </w:r>
      <w:proofErr w:type="spellStart"/>
      <w:r w:rsidR="005213CB" w:rsidRPr="00D03388">
        <w:rPr>
          <w:lang w:val="en-US"/>
        </w:rPr>
        <w:t>facilita</w:t>
      </w:r>
      <w:proofErr w:type="spellEnd"/>
      <w:r w:rsidR="005213CB" w:rsidRPr="00D03388">
        <w:rPr>
          <w:lang w:val="en-US"/>
        </w:rPr>
        <w:t xml:space="preserve"> </w:t>
      </w:r>
      <w:proofErr w:type="spellStart"/>
      <w:r w:rsidR="005213CB" w:rsidRPr="00D03388">
        <w:rPr>
          <w:lang w:val="en-US"/>
        </w:rPr>
        <w:t>oferta</w:t>
      </w:r>
      <w:proofErr w:type="spellEnd"/>
      <w:r w:rsidR="005213CB" w:rsidRPr="00D03388">
        <w:rPr>
          <w:lang w:val="en-US"/>
        </w:rPr>
        <w:t xml:space="preserve"> de capacitate, </w:t>
      </w:r>
      <w:proofErr w:type="spellStart"/>
      <w:r w:rsidR="005213CB" w:rsidRPr="00D03388">
        <w:rPr>
          <w:lang w:val="en-US"/>
        </w:rPr>
        <w:t>ţinând</w:t>
      </w:r>
      <w:proofErr w:type="spellEnd"/>
      <w:r w:rsidR="005213CB" w:rsidRPr="00D03388">
        <w:rPr>
          <w:lang w:val="en-US"/>
        </w:rPr>
        <w:t xml:space="preserve"> </w:t>
      </w:r>
      <w:proofErr w:type="spellStart"/>
      <w:r w:rsidR="005213CB" w:rsidRPr="00D03388">
        <w:rPr>
          <w:lang w:val="en-US"/>
        </w:rPr>
        <w:t>cont</w:t>
      </w:r>
      <w:proofErr w:type="spellEnd"/>
      <w:r w:rsidR="005213CB" w:rsidRPr="00D03388">
        <w:rPr>
          <w:lang w:val="en-US"/>
        </w:rPr>
        <w:t xml:space="preserve"> de </w:t>
      </w:r>
      <w:proofErr w:type="spellStart"/>
      <w:r w:rsidR="005213CB" w:rsidRPr="00D03388">
        <w:rPr>
          <w:lang w:val="en-US"/>
        </w:rPr>
        <w:t>normele</w:t>
      </w:r>
      <w:proofErr w:type="spellEnd"/>
      <w:r w:rsidR="005213CB" w:rsidRPr="00D03388">
        <w:rPr>
          <w:lang w:val="en-US"/>
        </w:rPr>
        <w:t xml:space="preserve"> </w:t>
      </w:r>
      <w:proofErr w:type="spellStart"/>
      <w:r w:rsidR="005213CB" w:rsidRPr="00D03388">
        <w:rPr>
          <w:lang w:val="en-US"/>
        </w:rPr>
        <w:t>existente</w:t>
      </w:r>
      <w:proofErr w:type="spellEnd"/>
      <w:r w:rsidR="005213CB" w:rsidRPr="00D03388">
        <w:rPr>
          <w:lang w:val="en-US"/>
        </w:rPr>
        <w:t xml:space="preserve"> </w:t>
      </w:r>
      <w:proofErr w:type="spellStart"/>
      <w:r w:rsidR="005213CB" w:rsidRPr="00D03388">
        <w:rPr>
          <w:lang w:val="en-US"/>
        </w:rPr>
        <w:t>privind</w:t>
      </w:r>
      <w:proofErr w:type="spellEnd"/>
      <w:r w:rsidR="005213CB" w:rsidRPr="00D03388">
        <w:rPr>
          <w:lang w:val="en-US"/>
        </w:rPr>
        <w:t xml:space="preserve"> </w:t>
      </w:r>
      <w:proofErr w:type="spellStart"/>
      <w:r w:rsidR="005213CB" w:rsidRPr="00D03388">
        <w:rPr>
          <w:lang w:val="en-US"/>
        </w:rPr>
        <w:t>mecanismele</w:t>
      </w:r>
      <w:proofErr w:type="spellEnd"/>
      <w:r w:rsidR="005213CB" w:rsidRPr="00D03388">
        <w:rPr>
          <w:lang w:val="en-US"/>
        </w:rPr>
        <w:t xml:space="preserve"> de </w:t>
      </w:r>
      <w:proofErr w:type="spellStart"/>
      <w:r w:rsidR="005213CB" w:rsidRPr="00D03388">
        <w:rPr>
          <w:lang w:val="en-US"/>
        </w:rPr>
        <w:t>alocare</w:t>
      </w:r>
      <w:proofErr w:type="spellEnd"/>
      <w:r w:rsidR="005213CB" w:rsidRPr="00D03388">
        <w:rPr>
          <w:lang w:val="en-US"/>
        </w:rPr>
        <w:t xml:space="preserve"> a </w:t>
      </w:r>
      <w:proofErr w:type="spellStart"/>
      <w:r w:rsidR="000F0BC5">
        <w:rPr>
          <w:lang w:val="en-US"/>
        </w:rPr>
        <w:t>capacităţii</w:t>
      </w:r>
      <w:proofErr w:type="spellEnd"/>
      <w:r w:rsidR="000F0BC5">
        <w:rPr>
          <w:lang w:val="en-US"/>
        </w:rPr>
        <w:t>,</w:t>
      </w:r>
    </w:p>
    <w:p w14:paraId="0994F8ED" w14:textId="77777777" w:rsidR="00EA55E4" w:rsidRDefault="00EA55E4" w:rsidP="00EA55E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9B0369" w14:textId="1F25DFF6" w:rsidR="00EA55E4" w:rsidRDefault="00EA55E4" w:rsidP="00EA55E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s</w:t>
      </w:r>
      <w:r w:rsidR="000F0BC5" w:rsidRPr="00EA55E4">
        <w:rPr>
          <w:rFonts w:ascii="Times New Roman" w:eastAsia="Times New Roman" w:hAnsi="Times New Roman"/>
          <w:sz w:val="24"/>
          <w:szCs w:val="24"/>
          <w:lang w:eastAsia="ru-RU"/>
        </w:rPr>
        <w:t xml:space="preserve">e </w:t>
      </w:r>
      <w:proofErr w:type="spellStart"/>
      <w:r w:rsidR="000F0BC5" w:rsidRPr="00EA55E4">
        <w:rPr>
          <w:rFonts w:ascii="Times New Roman" w:eastAsia="Times New Roman" w:hAnsi="Times New Roman"/>
          <w:sz w:val="24"/>
          <w:szCs w:val="24"/>
          <w:lang w:eastAsia="ru-RU"/>
        </w:rPr>
        <w:t>pr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o</w:t>
      </w:r>
      <w:r w:rsidR="000F0BC5" w:rsidRPr="00EA55E4">
        <w:rPr>
          <w:rFonts w:ascii="Times New Roman" w:eastAsia="Times New Roman" w:hAnsi="Times New Roman"/>
          <w:sz w:val="24"/>
          <w:szCs w:val="24"/>
          <w:lang w:eastAsia="ru-RU"/>
        </w:rPr>
        <w:t>pune</w:t>
      </w:r>
      <w:proofErr w:type="spellEnd"/>
      <w:r w:rsidR="000F0BC5" w:rsidRPr="00EA55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F0BC5" w:rsidRPr="00EA55E4">
        <w:rPr>
          <w:rFonts w:ascii="Times New Roman" w:eastAsia="Times New Roman" w:hAnsi="Times New Roman"/>
          <w:sz w:val="24"/>
          <w:szCs w:val="24"/>
          <w:lang w:eastAsia="ru-RU"/>
        </w:rPr>
        <w:t>Consiliului</w:t>
      </w:r>
      <w:proofErr w:type="spellEnd"/>
      <w:r w:rsidR="000F0BC5" w:rsidRPr="00EA55E4">
        <w:rPr>
          <w:rFonts w:ascii="Times New Roman" w:eastAsia="Times New Roman" w:hAnsi="Times New Roman"/>
          <w:sz w:val="24"/>
          <w:szCs w:val="24"/>
          <w:lang w:eastAsia="ru-RU"/>
        </w:rPr>
        <w:t xml:space="preserve"> de </w:t>
      </w:r>
      <w:proofErr w:type="spellStart"/>
      <w:r w:rsidR="00040406">
        <w:rPr>
          <w:rFonts w:ascii="Times New Roman" w:eastAsia="Times New Roman" w:hAnsi="Times New Roman"/>
          <w:sz w:val="24"/>
          <w:szCs w:val="24"/>
          <w:lang w:eastAsia="ru-RU"/>
        </w:rPr>
        <w:t>a</w:t>
      </w:r>
      <w:r w:rsidR="000F0BC5" w:rsidRPr="00EA55E4">
        <w:rPr>
          <w:rFonts w:ascii="Times New Roman" w:eastAsia="Times New Roman" w:hAnsi="Times New Roman"/>
          <w:sz w:val="24"/>
          <w:szCs w:val="24"/>
          <w:lang w:eastAsia="ru-RU"/>
        </w:rPr>
        <w:t>dministrație</w:t>
      </w:r>
      <w:proofErr w:type="spellEnd"/>
      <w:r w:rsidR="000F0BC5" w:rsidRPr="00EA55E4">
        <w:rPr>
          <w:rFonts w:ascii="Times New Roman" w:eastAsia="Times New Roman" w:hAnsi="Times New Roman"/>
          <w:sz w:val="24"/>
          <w:szCs w:val="24"/>
          <w:lang w:eastAsia="ru-RU"/>
        </w:rPr>
        <w:t xml:space="preserve"> al ANRE </w:t>
      </w:r>
      <w:proofErr w:type="spellStart"/>
      <w:r w:rsidR="000F0BC5" w:rsidRPr="00EA55E4">
        <w:rPr>
          <w:rFonts w:ascii="Times New Roman" w:eastAsia="Times New Roman" w:hAnsi="Times New Roman"/>
          <w:sz w:val="24"/>
          <w:szCs w:val="24"/>
          <w:lang w:eastAsia="ru-RU"/>
        </w:rPr>
        <w:t>probarea</w:t>
      </w:r>
      <w:proofErr w:type="spellEnd"/>
      <w:r w:rsidR="000F0BC5" w:rsidRPr="00EA55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F0BC5" w:rsidRPr="00EA55E4">
        <w:rPr>
          <w:rFonts w:ascii="Times New Roman" w:eastAsia="Times New Roman" w:hAnsi="Times New Roman"/>
          <w:sz w:val="24"/>
          <w:szCs w:val="24"/>
          <w:lang w:eastAsia="ru-RU"/>
        </w:rPr>
        <w:t>Hotărârii</w:t>
      </w:r>
      <w:proofErr w:type="spellEnd"/>
      <w:r w:rsidR="000F0BC5" w:rsidRPr="00EA55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>privind</w:t>
      </w:r>
      <w:proofErr w:type="spellEnd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>aprobarea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>propunerii</w:t>
      </w:r>
      <w:proofErr w:type="spellEnd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 xml:space="preserve"> de </w:t>
      </w:r>
      <w:proofErr w:type="spellStart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>proiect</w:t>
      </w:r>
      <w:proofErr w:type="spellEnd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>pentru</w:t>
      </w:r>
      <w:proofErr w:type="spellEnd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 xml:space="preserve"> capacitate </w:t>
      </w:r>
      <w:proofErr w:type="spellStart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>incrementală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 xml:space="preserve">la </w:t>
      </w:r>
      <w:proofErr w:type="spellStart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>punctele</w:t>
      </w:r>
      <w:proofErr w:type="spellEnd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 xml:space="preserve"> de </w:t>
      </w:r>
      <w:proofErr w:type="spellStart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>interconectare</w:t>
      </w:r>
      <w:proofErr w:type="spellEnd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>dintre</w:t>
      </w:r>
      <w:proofErr w:type="spellEnd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>sistemele</w:t>
      </w:r>
      <w:proofErr w:type="spellEnd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 xml:space="preserve"> de transport al </w:t>
      </w:r>
      <w:proofErr w:type="spellStart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>gazelor</w:t>
      </w:r>
      <w:proofErr w:type="spellEnd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>naturale</w:t>
      </w:r>
      <w:proofErr w:type="spellEnd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 xml:space="preserve"> ale </w:t>
      </w:r>
      <w:proofErr w:type="spellStart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>Republicii</w:t>
      </w:r>
      <w:proofErr w:type="spellEnd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 xml:space="preserve"> Moldova </w:t>
      </w:r>
      <w:proofErr w:type="spellStart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>și</w:t>
      </w:r>
      <w:proofErr w:type="spellEnd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A55E4">
        <w:rPr>
          <w:rFonts w:ascii="Times New Roman" w:eastAsia="Times New Roman" w:hAnsi="Times New Roman"/>
          <w:sz w:val="24"/>
          <w:szCs w:val="24"/>
          <w:lang w:eastAsia="ru-RU"/>
        </w:rPr>
        <w:t>Ucrainei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regim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urgență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381C8B2" w14:textId="77777777" w:rsidR="002851E2" w:rsidRDefault="002851E2" w:rsidP="00EA55E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o-MD"/>
        </w:rPr>
      </w:pPr>
    </w:p>
    <w:p w14:paraId="4C47A691" w14:textId="77777777" w:rsidR="002851E2" w:rsidRDefault="002851E2" w:rsidP="00EA55E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o-MD"/>
        </w:rPr>
      </w:pPr>
    </w:p>
    <w:p w14:paraId="166DBD37" w14:textId="3BE51A39" w:rsidR="00E54C70" w:rsidRPr="00D03388" w:rsidRDefault="002851E2" w:rsidP="00EA55E4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MD"/>
        </w:rPr>
        <w:t>D</w:t>
      </w:r>
      <w:r w:rsidR="00E54C70" w:rsidRPr="00D03388">
        <w:rPr>
          <w:rFonts w:ascii="Times New Roman" w:hAnsi="Times New Roman"/>
          <w:b/>
          <w:sz w:val="24"/>
          <w:szCs w:val="24"/>
          <w:lang w:val="ro-MD"/>
        </w:rPr>
        <w:t>epartament</w:t>
      </w:r>
      <w:r w:rsidR="002276DB" w:rsidRPr="00D03388">
        <w:rPr>
          <w:rFonts w:ascii="Times New Roman" w:hAnsi="Times New Roman"/>
          <w:b/>
          <w:sz w:val="24"/>
          <w:szCs w:val="24"/>
          <w:lang w:val="ro-MD"/>
        </w:rPr>
        <w:t>ul</w:t>
      </w:r>
      <w:r w:rsidR="00E54C70" w:rsidRPr="00D03388">
        <w:rPr>
          <w:rFonts w:ascii="Times New Roman" w:hAnsi="Times New Roman"/>
          <w:b/>
          <w:sz w:val="24"/>
          <w:szCs w:val="24"/>
          <w:lang w:val="ro-MD"/>
        </w:rPr>
        <w:t xml:space="preserve"> gaze naturale </w:t>
      </w:r>
      <w:proofErr w:type="spellStart"/>
      <w:r w:rsidR="00E54C70" w:rsidRPr="00D03388">
        <w:rPr>
          <w:rFonts w:ascii="Times New Roman" w:hAnsi="Times New Roman"/>
          <w:b/>
          <w:sz w:val="24"/>
          <w:szCs w:val="24"/>
          <w:lang w:val="ro-MD"/>
        </w:rPr>
        <w:t>şi</w:t>
      </w:r>
      <w:proofErr w:type="spellEnd"/>
      <w:r w:rsidR="00E54C70" w:rsidRPr="00D03388">
        <w:rPr>
          <w:rFonts w:ascii="Times New Roman" w:hAnsi="Times New Roman"/>
          <w:b/>
          <w:sz w:val="24"/>
          <w:szCs w:val="24"/>
          <w:lang w:val="ro-MD"/>
        </w:rPr>
        <w:t xml:space="preserve"> energie termică</w:t>
      </w:r>
      <w:bookmarkStart w:id="0" w:name="_GoBack"/>
      <w:bookmarkEnd w:id="0"/>
    </w:p>
    <w:p w14:paraId="0B009A29" w14:textId="77777777" w:rsidR="00E54C70" w:rsidRPr="00D03388" w:rsidRDefault="00E54C70" w:rsidP="00EA55E4">
      <w:pPr>
        <w:pStyle w:val="nTemeiul"/>
        <w:tabs>
          <w:tab w:val="left" w:pos="567"/>
        </w:tabs>
        <w:spacing w:line="240" w:lineRule="auto"/>
        <w:ind w:firstLine="706"/>
        <w:rPr>
          <w:lang w:val="ro-RO"/>
        </w:rPr>
      </w:pPr>
    </w:p>
    <w:p w14:paraId="3126CCB2" w14:textId="77777777" w:rsidR="00A84E51" w:rsidRPr="00D03388" w:rsidRDefault="00A84E51" w:rsidP="00EA55E4">
      <w:pPr>
        <w:pStyle w:val="NormalWeb"/>
        <w:ind w:left="567" w:firstLine="0"/>
        <w:rPr>
          <w:lang w:val="ro-RO"/>
        </w:rPr>
      </w:pPr>
    </w:p>
    <w:sectPr w:rsidR="00A84E51" w:rsidRPr="00D03388" w:rsidSect="00520539">
      <w:pgSz w:w="11906" w:h="16838"/>
      <w:pgMar w:top="851" w:right="56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69CBD" w14:textId="77777777" w:rsidR="000B1D01" w:rsidRDefault="000B1D01" w:rsidP="001E5676">
      <w:pPr>
        <w:spacing w:after="0" w:line="240" w:lineRule="auto"/>
      </w:pPr>
      <w:r>
        <w:separator/>
      </w:r>
    </w:p>
  </w:endnote>
  <w:endnote w:type="continuationSeparator" w:id="0">
    <w:p w14:paraId="7477A19C" w14:textId="77777777" w:rsidR="000B1D01" w:rsidRDefault="000B1D01" w:rsidP="001E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C91E7" w14:textId="77777777" w:rsidR="000B1D01" w:rsidRDefault="000B1D01" w:rsidP="001E5676">
      <w:pPr>
        <w:spacing w:after="0" w:line="240" w:lineRule="auto"/>
      </w:pPr>
      <w:r>
        <w:separator/>
      </w:r>
    </w:p>
  </w:footnote>
  <w:footnote w:type="continuationSeparator" w:id="0">
    <w:p w14:paraId="6D9AA976" w14:textId="77777777" w:rsidR="000B1D01" w:rsidRDefault="000B1D01" w:rsidP="001E5676">
      <w:pPr>
        <w:spacing w:after="0" w:line="240" w:lineRule="auto"/>
      </w:pPr>
      <w:r>
        <w:continuationSeparator/>
      </w:r>
    </w:p>
  </w:footnote>
  <w:footnote w:id="1">
    <w:p w14:paraId="79B40A00" w14:textId="52505903" w:rsidR="009032FB" w:rsidRPr="009032FB" w:rsidRDefault="009032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032FB">
        <w:rPr>
          <w:rFonts w:ascii="Times New Roman" w:eastAsia="Times New Roman" w:hAnsi="Times New Roman"/>
          <w:lang w:val="ro-MD"/>
        </w:rPr>
        <w:t xml:space="preserve">RECP a fost publicat pe pagina web al VMTG la data de 23.10.2023.  </w:t>
      </w:r>
    </w:p>
  </w:footnote>
  <w:footnote w:id="2">
    <w:p w14:paraId="02D3D4FA" w14:textId="4400D260" w:rsidR="009032FB" w:rsidRPr="009032FB" w:rsidRDefault="009032FB" w:rsidP="009032FB">
      <w:pPr>
        <w:pStyle w:val="FootnoteText"/>
        <w:jc w:val="both"/>
        <w:rPr>
          <w:rFonts w:ascii="Times New Roman" w:hAnsi="Times New Roman"/>
          <w:lang w:val="ro-RO"/>
        </w:rPr>
      </w:pPr>
      <w:r w:rsidRPr="009032FB">
        <w:rPr>
          <w:rStyle w:val="FootnoteReference"/>
          <w:rFonts w:ascii="Times New Roman" w:hAnsi="Times New Roman"/>
        </w:rPr>
        <w:footnoteRef/>
      </w:r>
      <w:r w:rsidRPr="009032FB">
        <w:rPr>
          <w:rFonts w:ascii="Times New Roman" w:hAnsi="Times New Roman"/>
        </w:rPr>
        <w:t xml:space="preserve"> </w:t>
      </w:r>
      <w:r w:rsidRPr="009032FB">
        <w:rPr>
          <w:rFonts w:ascii="Times New Roman" w:hAnsi="Times New Roman"/>
          <w:lang w:val="ro-RO"/>
        </w:rPr>
        <w:t xml:space="preserve">La data de  22.04.2024 ANRE Romania a adoptat Deciziei privind aprobare a proiectului de capacitate incrementală între sistemele de transport al gazelor naturale ale </w:t>
      </w:r>
      <w:proofErr w:type="spellStart"/>
      <w:r w:rsidRPr="009032FB">
        <w:rPr>
          <w:rFonts w:ascii="Times New Roman" w:hAnsi="Times New Roman"/>
          <w:lang w:val="ro-RO"/>
        </w:rPr>
        <w:t>Romaniei</w:t>
      </w:r>
      <w:proofErr w:type="spellEnd"/>
      <w:r w:rsidRPr="009032FB">
        <w:rPr>
          <w:rFonts w:ascii="Times New Roman" w:hAnsi="Times New Roman"/>
          <w:lang w:val="ro-RO"/>
        </w:rPr>
        <w:t xml:space="preserve"> și Ucrainei în punctul de interconectare comun Isaccea 1/</w:t>
      </w:r>
      <w:proofErr w:type="spellStart"/>
      <w:r w:rsidRPr="009032FB">
        <w:rPr>
          <w:rFonts w:ascii="Times New Roman" w:hAnsi="Times New Roman"/>
          <w:lang w:val="ro-RO"/>
        </w:rPr>
        <w:t>Orlovka</w:t>
      </w:r>
      <w:proofErr w:type="spellEnd"/>
      <w:r w:rsidRPr="009032FB">
        <w:rPr>
          <w:rFonts w:ascii="Times New Roman" w:hAnsi="Times New Roman"/>
          <w:lang w:val="ro-RO"/>
        </w:rPr>
        <w:t xml:space="preserve"> 1.</w:t>
      </w:r>
    </w:p>
  </w:footnote>
  <w:footnote w:id="3">
    <w:p w14:paraId="5E52BB80" w14:textId="08CFA172" w:rsidR="00AC5039" w:rsidRPr="00AB4BA9" w:rsidRDefault="00AC5039" w:rsidP="00AC5039">
      <w:pPr>
        <w:pStyle w:val="FootnoteText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2C"/>
    <w:multiLevelType w:val="hybridMultilevel"/>
    <w:tmpl w:val="1D021F88"/>
    <w:lvl w:ilvl="0" w:tplc="291EB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7109"/>
    <w:multiLevelType w:val="hybridMultilevel"/>
    <w:tmpl w:val="60AC037C"/>
    <w:lvl w:ilvl="0" w:tplc="08249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4437F"/>
    <w:multiLevelType w:val="hybridMultilevel"/>
    <w:tmpl w:val="C5840CF0"/>
    <w:lvl w:ilvl="0" w:tplc="A07C41B8">
      <w:start w:val="1"/>
      <w:numFmt w:val="decimal"/>
      <w:pStyle w:val="Numerotar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46E31"/>
    <w:multiLevelType w:val="hybridMultilevel"/>
    <w:tmpl w:val="D56C436A"/>
    <w:lvl w:ilvl="0" w:tplc="6AA4B7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137FB"/>
    <w:multiLevelType w:val="hybridMultilevel"/>
    <w:tmpl w:val="BFEC4378"/>
    <w:lvl w:ilvl="0" w:tplc="FA124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84A36"/>
    <w:multiLevelType w:val="hybridMultilevel"/>
    <w:tmpl w:val="9468E250"/>
    <w:lvl w:ilvl="0" w:tplc="99503EF0">
      <w:start w:val="1"/>
      <w:numFmt w:val="bullet"/>
      <w:lvlText w:val="•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1E9C70">
      <w:start w:val="1"/>
      <w:numFmt w:val="bullet"/>
      <w:lvlText w:val="o"/>
      <w:lvlJc w:val="left"/>
      <w:pPr>
        <w:ind w:left="1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147990">
      <w:start w:val="1"/>
      <w:numFmt w:val="bullet"/>
      <w:lvlText w:val="▪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6F2B4">
      <w:start w:val="1"/>
      <w:numFmt w:val="bullet"/>
      <w:lvlText w:val="•"/>
      <w:lvlJc w:val="left"/>
      <w:pPr>
        <w:ind w:left="2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4CD66A">
      <w:start w:val="1"/>
      <w:numFmt w:val="bullet"/>
      <w:lvlText w:val="o"/>
      <w:lvlJc w:val="left"/>
      <w:pPr>
        <w:ind w:left="3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80A36">
      <w:start w:val="1"/>
      <w:numFmt w:val="bullet"/>
      <w:lvlText w:val="▪"/>
      <w:lvlJc w:val="left"/>
      <w:pPr>
        <w:ind w:left="4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72B1F0">
      <w:start w:val="1"/>
      <w:numFmt w:val="bullet"/>
      <w:lvlText w:val="•"/>
      <w:lvlJc w:val="left"/>
      <w:pPr>
        <w:ind w:left="4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09BB0">
      <w:start w:val="1"/>
      <w:numFmt w:val="bullet"/>
      <w:lvlText w:val="o"/>
      <w:lvlJc w:val="left"/>
      <w:pPr>
        <w:ind w:left="5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92E334">
      <w:start w:val="1"/>
      <w:numFmt w:val="bullet"/>
      <w:lvlText w:val="▪"/>
      <w:lvlJc w:val="left"/>
      <w:pPr>
        <w:ind w:left="6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B04626"/>
    <w:multiLevelType w:val="multilevel"/>
    <w:tmpl w:val="C2A833CE"/>
    <w:lvl w:ilvl="0">
      <w:start w:val="1"/>
      <w:numFmt w:val="upperLetter"/>
      <w:lvlText w:val="%1."/>
      <w:lvlJc w:val="left"/>
      <w:pPr>
        <w:ind w:left="86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02" w:hanging="52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0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4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56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42" w:hanging="1800"/>
      </w:pPr>
      <w:rPr>
        <w:rFonts w:hint="default"/>
        <w:b/>
      </w:rPr>
    </w:lvl>
  </w:abstractNum>
  <w:abstractNum w:abstractNumId="7" w15:restartNumberingAfterBreak="0">
    <w:nsid w:val="2DE976F4"/>
    <w:multiLevelType w:val="hybridMultilevel"/>
    <w:tmpl w:val="83B8922E"/>
    <w:lvl w:ilvl="0" w:tplc="73308A94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9486BC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505C60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669B2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CCA28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E979A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8908A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E1036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C56F0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C71E83"/>
    <w:multiLevelType w:val="hybridMultilevel"/>
    <w:tmpl w:val="6F80E1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31318"/>
    <w:multiLevelType w:val="hybridMultilevel"/>
    <w:tmpl w:val="8DAC9118"/>
    <w:lvl w:ilvl="0" w:tplc="C6B45E54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BC9A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47F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E59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8F8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AA4B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B04E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40D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4CA5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DB72C8"/>
    <w:multiLevelType w:val="hybridMultilevel"/>
    <w:tmpl w:val="413A9A0E"/>
    <w:lvl w:ilvl="0" w:tplc="B45CD74A">
      <w:start w:val="1"/>
      <w:numFmt w:val="lowerLetter"/>
      <w:lvlText w:val="%1)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84FDF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2E2C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ADE4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AA4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42187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4E1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36AEA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888B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FD69D2"/>
    <w:multiLevelType w:val="hybridMultilevel"/>
    <w:tmpl w:val="DC8A471A"/>
    <w:lvl w:ilvl="0" w:tplc="0ACC92C8">
      <w:start w:val="1"/>
      <w:numFmt w:val="lowerLetter"/>
      <w:lvlText w:val="%1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E9A9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0CB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EBA6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9874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C785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464D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8C2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83E4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166908"/>
    <w:multiLevelType w:val="hybridMultilevel"/>
    <w:tmpl w:val="6A2A6FD8"/>
    <w:lvl w:ilvl="0" w:tplc="08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11998"/>
    <w:multiLevelType w:val="hybridMultilevel"/>
    <w:tmpl w:val="26529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61713"/>
    <w:multiLevelType w:val="multilevel"/>
    <w:tmpl w:val="DD5EFA12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"/>
      <w:lvlJc w:val="left"/>
      <w:pPr>
        <w:ind w:left="1202" w:hanging="52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0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4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56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42" w:hanging="1800"/>
      </w:pPr>
      <w:rPr>
        <w:rFonts w:hint="default"/>
        <w:b/>
      </w:rPr>
    </w:lvl>
  </w:abstractNum>
  <w:abstractNum w:abstractNumId="15" w15:restartNumberingAfterBreak="0">
    <w:nsid w:val="475B228B"/>
    <w:multiLevelType w:val="hybridMultilevel"/>
    <w:tmpl w:val="D8C457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458B7"/>
    <w:multiLevelType w:val="hybridMultilevel"/>
    <w:tmpl w:val="6E44C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B34B0"/>
    <w:multiLevelType w:val="hybridMultilevel"/>
    <w:tmpl w:val="10D28760"/>
    <w:lvl w:ilvl="0" w:tplc="13B42FCC">
      <w:start w:val="3"/>
      <w:numFmt w:val="decimal"/>
      <w:lvlText w:val="%1."/>
      <w:lvlJc w:val="left"/>
      <w:pPr>
        <w:ind w:left="64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C2CFE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4F6CE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4625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0751A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AC84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E81F8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04CF6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10C5AE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6C6A35"/>
    <w:multiLevelType w:val="hybridMultilevel"/>
    <w:tmpl w:val="39CEF22E"/>
    <w:lvl w:ilvl="0" w:tplc="CA00E26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C9455E0"/>
    <w:multiLevelType w:val="hybridMultilevel"/>
    <w:tmpl w:val="964A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00F4F"/>
    <w:multiLevelType w:val="hybridMultilevel"/>
    <w:tmpl w:val="B0FE712C"/>
    <w:lvl w:ilvl="0" w:tplc="3E8E231A">
      <w:start w:val="1"/>
      <w:numFmt w:val="decimal"/>
      <w:lvlText w:val="%1."/>
      <w:lvlJc w:val="left"/>
      <w:pPr>
        <w:ind w:left="3763" w:hanging="360"/>
      </w:pPr>
      <w:rPr>
        <w:b/>
      </w:rPr>
    </w:lvl>
    <w:lvl w:ilvl="1" w:tplc="04190017">
      <w:start w:val="1"/>
      <w:numFmt w:val="lowerLetter"/>
      <w:lvlText w:val="%2)"/>
      <w:lvlJc w:val="left"/>
      <w:pPr>
        <w:ind w:left="502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E071F"/>
    <w:multiLevelType w:val="hybridMultilevel"/>
    <w:tmpl w:val="C5BC3F0A"/>
    <w:lvl w:ilvl="0" w:tplc="B032FA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81F6F"/>
    <w:multiLevelType w:val="hybridMultilevel"/>
    <w:tmpl w:val="37484BA8"/>
    <w:lvl w:ilvl="0" w:tplc="BD82C60C">
      <w:start w:val="1"/>
      <w:numFmt w:val="lowerLetter"/>
      <w:lvlText w:val="%1)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A768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82B00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278C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2D97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27F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E937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445C3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02CE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51254C"/>
    <w:multiLevelType w:val="hybridMultilevel"/>
    <w:tmpl w:val="015EB0A8"/>
    <w:lvl w:ilvl="0" w:tplc="CAB2A8D8">
      <w:start w:val="1"/>
      <w:numFmt w:val="bullet"/>
      <w:lvlText w:val="-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C0A0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2779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A3B5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A8A5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981F4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3825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10A31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E4E0B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F451DE"/>
    <w:multiLevelType w:val="hybridMultilevel"/>
    <w:tmpl w:val="DEF639F2"/>
    <w:lvl w:ilvl="0" w:tplc="4418C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740AC"/>
    <w:multiLevelType w:val="hybridMultilevel"/>
    <w:tmpl w:val="00E8062E"/>
    <w:lvl w:ilvl="0" w:tplc="95F6684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BC59A3"/>
    <w:multiLevelType w:val="hybridMultilevel"/>
    <w:tmpl w:val="351A7D24"/>
    <w:lvl w:ilvl="0" w:tplc="633C6434">
      <w:start w:val="1"/>
      <w:numFmt w:val="bullet"/>
      <w:lvlText w:val="-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6F406">
      <w:start w:val="6"/>
      <w:numFmt w:val="decimal"/>
      <w:lvlText w:val="%2."/>
      <w:lvlJc w:val="left"/>
      <w:pPr>
        <w:ind w:left="64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80EE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4008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EDD68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E1396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E42C5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68CE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6888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"/>
  </w:num>
  <w:num w:numId="3">
    <w:abstractNumId w:val="18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5"/>
  </w:num>
  <w:num w:numId="8">
    <w:abstractNumId w:val="12"/>
  </w:num>
  <w:num w:numId="9">
    <w:abstractNumId w:val="3"/>
  </w:num>
  <w:num w:numId="10">
    <w:abstractNumId w:val="20"/>
  </w:num>
  <w:num w:numId="11">
    <w:abstractNumId w:val="4"/>
  </w:num>
  <w:num w:numId="12">
    <w:abstractNumId w:val="7"/>
  </w:num>
  <w:num w:numId="13">
    <w:abstractNumId w:val="17"/>
  </w:num>
  <w:num w:numId="14">
    <w:abstractNumId w:val="5"/>
  </w:num>
  <w:num w:numId="15">
    <w:abstractNumId w:val="9"/>
  </w:num>
  <w:num w:numId="16">
    <w:abstractNumId w:val="11"/>
  </w:num>
  <w:num w:numId="17">
    <w:abstractNumId w:val="22"/>
  </w:num>
  <w:num w:numId="18">
    <w:abstractNumId w:val="23"/>
  </w:num>
  <w:num w:numId="19">
    <w:abstractNumId w:val="10"/>
  </w:num>
  <w:num w:numId="20">
    <w:abstractNumId w:val="26"/>
  </w:num>
  <w:num w:numId="21">
    <w:abstractNumId w:val="13"/>
  </w:num>
  <w:num w:numId="22">
    <w:abstractNumId w:val="19"/>
  </w:num>
  <w:num w:numId="23">
    <w:abstractNumId w:val="0"/>
  </w:num>
  <w:num w:numId="24">
    <w:abstractNumId w:val="8"/>
  </w:num>
  <w:num w:numId="25">
    <w:abstractNumId w:val="24"/>
  </w:num>
  <w:num w:numId="26">
    <w:abstractNumId w:val="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EB"/>
    <w:rsid w:val="000130C3"/>
    <w:rsid w:val="000161A3"/>
    <w:rsid w:val="000168C4"/>
    <w:rsid w:val="00016C1E"/>
    <w:rsid w:val="00017A0C"/>
    <w:rsid w:val="0004001F"/>
    <w:rsid w:val="00040406"/>
    <w:rsid w:val="000421CA"/>
    <w:rsid w:val="000550B2"/>
    <w:rsid w:val="0006280F"/>
    <w:rsid w:val="00084B4C"/>
    <w:rsid w:val="00094A70"/>
    <w:rsid w:val="00096E98"/>
    <w:rsid w:val="000B1D01"/>
    <w:rsid w:val="000D096E"/>
    <w:rsid w:val="000D1C54"/>
    <w:rsid w:val="000E016D"/>
    <w:rsid w:val="000F0BC5"/>
    <w:rsid w:val="0010526F"/>
    <w:rsid w:val="00112F4E"/>
    <w:rsid w:val="0011373E"/>
    <w:rsid w:val="001154D7"/>
    <w:rsid w:val="00116FBC"/>
    <w:rsid w:val="00120F2B"/>
    <w:rsid w:val="00140260"/>
    <w:rsid w:val="001509D3"/>
    <w:rsid w:val="00160E5A"/>
    <w:rsid w:val="001610AB"/>
    <w:rsid w:val="00171D77"/>
    <w:rsid w:val="00190148"/>
    <w:rsid w:val="00193B13"/>
    <w:rsid w:val="001A025F"/>
    <w:rsid w:val="001A3D8A"/>
    <w:rsid w:val="001A4113"/>
    <w:rsid w:val="001C3F8F"/>
    <w:rsid w:val="001D0312"/>
    <w:rsid w:val="001E5676"/>
    <w:rsid w:val="002052E1"/>
    <w:rsid w:val="00212810"/>
    <w:rsid w:val="00220764"/>
    <w:rsid w:val="00222DE3"/>
    <w:rsid w:val="00225F55"/>
    <w:rsid w:val="002266D2"/>
    <w:rsid w:val="002276DB"/>
    <w:rsid w:val="00250999"/>
    <w:rsid w:val="0026092B"/>
    <w:rsid w:val="002851E2"/>
    <w:rsid w:val="002E0C7A"/>
    <w:rsid w:val="002E3D58"/>
    <w:rsid w:val="002E3F6B"/>
    <w:rsid w:val="002F2332"/>
    <w:rsid w:val="00306B05"/>
    <w:rsid w:val="003440CF"/>
    <w:rsid w:val="00356DE7"/>
    <w:rsid w:val="0039189A"/>
    <w:rsid w:val="003B26AA"/>
    <w:rsid w:val="003B550B"/>
    <w:rsid w:val="003B787B"/>
    <w:rsid w:val="003C03B4"/>
    <w:rsid w:val="003E2665"/>
    <w:rsid w:val="003E5FA5"/>
    <w:rsid w:val="00421D6A"/>
    <w:rsid w:val="00425180"/>
    <w:rsid w:val="004333E7"/>
    <w:rsid w:val="00456086"/>
    <w:rsid w:val="004614E7"/>
    <w:rsid w:val="00474306"/>
    <w:rsid w:val="00476A0A"/>
    <w:rsid w:val="004907FF"/>
    <w:rsid w:val="004A0FB2"/>
    <w:rsid w:val="004A7B86"/>
    <w:rsid w:val="004B0F4F"/>
    <w:rsid w:val="004D0053"/>
    <w:rsid w:val="004D6AAC"/>
    <w:rsid w:val="004F018D"/>
    <w:rsid w:val="004F03F4"/>
    <w:rsid w:val="0050679A"/>
    <w:rsid w:val="00520539"/>
    <w:rsid w:val="005213CB"/>
    <w:rsid w:val="00522118"/>
    <w:rsid w:val="005275DB"/>
    <w:rsid w:val="00542E89"/>
    <w:rsid w:val="00543ADD"/>
    <w:rsid w:val="00552186"/>
    <w:rsid w:val="0056197D"/>
    <w:rsid w:val="00572145"/>
    <w:rsid w:val="005A1635"/>
    <w:rsid w:val="005B0986"/>
    <w:rsid w:val="005B4027"/>
    <w:rsid w:val="005B6586"/>
    <w:rsid w:val="005D4BA1"/>
    <w:rsid w:val="005F2589"/>
    <w:rsid w:val="006027A0"/>
    <w:rsid w:val="0060697F"/>
    <w:rsid w:val="00622E3F"/>
    <w:rsid w:val="006242E4"/>
    <w:rsid w:val="006401C0"/>
    <w:rsid w:val="006466FF"/>
    <w:rsid w:val="00652911"/>
    <w:rsid w:val="00666464"/>
    <w:rsid w:val="00676825"/>
    <w:rsid w:val="00693486"/>
    <w:rsid w:val="006B7137"/>
    <w:rsid w:val="006C5A9C"/>
    <w:rsid w:val="006F39C3"/>
    <w:rsid w:val="006F62FB"/>
    <w:rsid w:val="0070770E"/>
    <w:rsid w:val="00712E87"/>
    <w:rsid w:val="007156C7"/>
    <w:rsid w:val="0071743C"/>
    <w:rsid w:val="00735C8F"/>
    <w:rsid w:val="0074537A"/>
    <w:rsid w:val="00747ADD"/>
    <w:rsid w:val="00770B56"/>
    <w:rsid w:val="00777F71"/>
    <w:rsid w:val="00786780"/>
    <w:rsid w:val="007A07AC"/>
    <w:rsid w:val="007A0D27"/>
    <w:rsid w:val="007B1A37"/>
    <w:rsid w:val="007B1E04"/>
    <w:rsid w:val="007B52FB"/>
    <w:rsid w:val="007B5B68"/>
    <w:rsid w:val="007C080B"/>
    <w:rsid w:val="007C71D2"/>
    <w:rsid w:val="007E0900"/>
    <w:rsid w:val="008050C3"/>
    <w:rsid w:val="008073E7"/>
    <w:rsid w:val="008127F4"/>
    <w:rsid w:val="00825DA5"/>
    <w:rsid w:val="00826BA9"/>
    <w:rsid w:val="00826D73"/>
    <w:rsid w:val="008672E5"/>
    <w:rsid w:val="0088016F"/>
    <w:rsid w:val="008A5B60"/>
    <w:rsid w:val="008B38E6"/>
    <w:rsid w:val="008B5F96"/>
    <w:rsid w:val="008C13C5"/>
    <w:rsid w:val="008C1959"/>
    <w:rsid w:val="008C29AE"/>
    <w:rsid w:val="008C2E6A"/>
    <w:rsid w:val="008D5C00"/>
    <w:rsid w:val="008E78A9"/>
    <w:rsid w:val="008E7FC5"/>
    <w:rsid w:val="009029FE"/>
    <w:rsid w:val="009032FB"/>
    <w:rsid w:val="009418C1"/>
    <w:rsid w:val="00942CBA"/>
    <w:rsid w:val="00950CEE"/>
    <w:rsid w:val="00951C79"/>
    <w:rsid w:val="0096780D"/>
    <w:rsid w:val="009739FC"/>
    <w:rsid w:val="009740E8"/>
    <w:rsid w:val="009770EB"/>
    <w:rsid w:val="00984043"/>
    <w:rsid w:val="00984D90"/>
    <w:rsid w:val="009927EE"/>
    <w:rsid w:val="00997883"/>
    <w:rsid w:val="009A2562"/>
    <w:rsid w:val="009B4CA7"/>
    <w:rsid w:val="009B528F"/>
    <w:rsid w:val="009C3184"/>
    <w:rsid w:val="009E7CAF"/>
    <w:rsid w:val="009F3342"/>
    <w:rsid w:val="00A04680"/>
    <w:rsid w:val="00A20C08"/>
    <w:rsid w:val="00A31A7B"/>
    <w:rsid w:val="00A35FB5"/>
    <w:rsid w:val="00A4076E"/>
    <w:rsid w:val="00A4705A"/>
    <w:rsid w:val="00A66205"/>
    <w:rsid w:val="00A6688E"/>
    <w:rsid w:val="00A806D3"/>
    <w:rsid w:val="00A84E51"/>
    <w:rsid w:val="00AA07A6"/>
    <w:rsid w:val="00AA5A38"/>
    <w:rsid w:val="00AC05EC"/>
    <w:rsid w:val="00AC5039"/>
    <w:rsid w:val="00AE14F8"/>
    <w:rsid w:val="00AE251A"/>
    <w:rsid w:val="00AE306F"/>
    <w:rsid w:val="00AE71F0"/>
    <w:rsid w:val="00AF493D"/>
    <w:rsid w:val="00AF4ED2"/>
    <w:rsid w:val="00B01E32"/>
    <w:rsid w:val="00B118A9"/>
    <w:rsid w:val="00B32882"/>
    <w:rsid w:val="00B428DF"/>
    <w:rsid w:val="00B653CA"/>
    <w:rsid w:val="00B71969"/>
    <w:rsid w:val="00B750B4"/>
    <w:rsid w:val="00B8245F"/>
    <w:rsid w:val="00BA2A68"/>
    <w:rsid w:val="00BA2B7E"/>
    <w:rsid w:val="00BA5173"/>
    <w:rsid w:val="00BC22BC"/>
    <w:rsid w:val="00BE079C"/>
    <w:rsid w:val="00C00068"/>
    <w:rsid w:val="00C06B17"/>
    <w:rsid w:val="00C14C05"/>
    <w:rsid w:val="00C2500F"/>
    <w:rsid w:val="00C55D4E"/>
    <w:rsid w:val="00C57525"/>
    <w:rsid w:val="00C65966"/>
    <w:rsid w:val="00C711C7"/>
    <w:rsid w:val="00C71DF9"/>
    <w:rsid w:val="00C769CE"/>
    <w:rsid w:val="00C81CC4"/>
    <w:rsid w:val="00C8394F"/>
    <w:rsid w:val="00C94BF4"/>
    <w:rsid w:val="00C979DD"/>
    <w:rsid w:val="00CA427B"/>
    <w:rsid w:val="00CA4D49"/>
    <w:rsid w:val="00CA6883"/>
    <w:rsid w:val="00CC6701"/>
    <w:rsid w:val="00CD0256"/>
    <w:rsid w:val="00CE124D"/>
    <w:rsid w:val="00CE5261"/>
    <w:rsid w:val="00D03388"/>
    <w:rsid w:val="00D06489"/>
    <w:rsid w:val="00D2187D"/>
    <w:rsid w:val="00D225CD"/>
    <w:rsid w:val="00D23A15"/>
    <w:rsid w:val="00D46B96"/>
    <w:rsid w:val="00D64CB4"/>
    <w:rsid w:val="00D67886"/>
    <w:rsid w:val="00D706AE"/>
    <w:rsid w:val="00DA0A15"/>
    <w:rsid w:val="00DB39CA"/>
    <w:rsid w:val="00DC10A8"/>
    <w:rsid w:val="00DC280D"/>
    <w:rsid w:val="00DC511C"/>
    <w:rsid w:val="00DE215E"/>
    <w:rsid w:val="00DE54F3"/>
    <w:rsid w:val="00DF0BC9"/>
    <w:rsid w:val="00DF586C"/>
    <w:rsid w:val="00E038E9"/>
    <w:rsid w:val="00E071C5"/>
    <w:rsid w:val="00E17164"/>
    <w:rsid w:val="00E36876"/>
    <w:rsid w:val="00E53F65"/>
    <w:rsid w:val="00E54C70"/>
    <w:rsid w:val="00E6282B"/>
    <w:rsid w:val="00E728AA"/>
    <w:rsid w:val="00E8546C"/>
    <w:rsid w:val="00EA33D6"/>
    <w:rsid w:val="00EA55E4"/>
    <w:rsid w:val="00EB3960"/>
    <w:rsid w:val="00ED4BD2"/>
    <w:rsid w:val="00EF5E00"/>
    <w:rsid w:val="00EF5EEF"/>
    <w:rsid w:val="00F020A6"/>
    <w:rsid w:val="00F04F23"/>
    <w:rsid w:val="00F07FFB"/>
    <w:rsid w:val="00F101B3"/>
    <w:rsid w:val="00F11281"/>
    <w:rsid w:val="00F230AA"/>
    <w:rsid w:val="00F4535C"/>
    <w:rsid w:val="00F45483"/>
    <w:rsid w:val="00F51EEB"/>
    <w:rsid w:val="00F5582F"/>
    <w:rsid w:val="00F6139D"/>
    <w:rsid w:val="00F95926"/>
    <w:rsid w:val="00FB3822"/>
    <w:rsid w:val="00FB464F"/>
    <w:rsid w:val="00FC49E7"/>
    <w:rsid w:val="00FD654E"/>
    <w:rsid w:val="00FE028C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7C8EA"/>
  <w15:chartTrackingRefBased/>
  <w15:docId w15:val="{1701C697-E354-4A64-95AF-5D575E0D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EEB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9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EX Heading 2"/>
    <w:basedOn w:val="Normal"/>
    <w:link w:val="Heading2Char"/>
    <w:uiPriority w:val="9"/>
    <w:unhideWhenUsed/>
    <w:qFormat/>
    <w:rsid w:val="008C2E6A"/>
    <w:pPr>
      <w:keepNext/>
      <w:keepLines/>
      <w:spacing w:before="240" w:after="120"/>
      <w:ind w:left="360" w:hanging="360"/>
      <w:jc w:val="both"/>
      <w:outlineLvl w:val="1"/>
    </w:pPr>
    <w:rPr>
      <w:rFonts w:ascii="Calibri Light" w:eastAsia="Times New Roman" w:hAnsi="Calibri Light"/>
      <w:b/>
      <w:color w:val="44546A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0C0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0C08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0E016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Temeiul">
    <w:name w:val="În Temeiul"/>
    <w:basedOn w:val="Normal"/>
    <w:link w:val="nTemeiulChar"/>
    <w:qFormat/>
    <w:rsid w:val="00CA4D49"/>
    <w:pPr>
      <w:spacing w:after="0" w:line="252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Hotaraste">
    <w:name w:val="Hotaraste"/>
    <w:basedOn w:val="Normal"/>
    <w:link w:val="HotarasteChar"/>
    <w:qFormat/>
    <w:rsid w:val="00CA4D49"/>
    <w:pPr>
      <w:spacing w:after="0" w:line="252" w:lineRule="auto"/>
      <w:jc w:val="center"/>
    </w:pPr>
    <w:rPr>
      <w:rFonts w:ascii="Times New Roman" w:eastAsiaTheme="minorEastAsia" w:hAnsi="Times New Roman"/>
      <w:b/>
      <w:sz w:val="24"/>
      <w:szCs w:val="24"/>
    </w:rPr>
  </w:style>
  <w:style w:type="character" w:customStyle="1" w:styleId="nTemeiulChar">
    <w:name w:val="În Temeiul Char"/>
    <w:basedOn w:val="DefaultParagraphFont"/>
    <w:link w:val="nTemeiul"/>
    <w:rsid w:val="00CA4D49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HotarasteChar">
    <w:name w:val="Hotaraste Char"/>
    <w:basedOn w:val="DefaultParagraphFont"/>
    <w:link w:val="Hotaraste"/>
    <w:rsid w:val="00CA4D49"/>
    <w:rPr>
      <w:rFonts w:ascii="Times New Roman" w:eastAsiaTheme="minorEastAsia" w:hAnsi="Times New Roman" w:cs="Times New Roman"/>
      <w:b/>
      <w:sz w:val="24"/>
      <w:szCs w:val="24"/>
      <w:lang w:val="en-US"/>
    </w:rPr>
  </w:style>
  <w:style w:type="paragraph" w:customStyle="1" w:styleId="Numerotare">
    <w:name w:val="Numerotare"/>
    <w:basedOn w:val="ListParagraph"/>
    <w:link w:val="NumerotareChar"/>
    <w:qFormat/>
    <w:rsid w:val="0074537A"/>
    <w:pPr>
      <w:numPr>
        <w:numId w:val="2"/>
      </w:numPr>
      <w:spacing w:after="0" w:line="252" w:lineRule="auto"/>
      <w:ind w:left="426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NumerotareChar">
    <w:name w:val="Numerotare Char"/>
    <w:basedOn w:val="DefaultParagraphFont"/>
    <w:link w:val="Numerotare"/>
    <w:rsid w:val="0074537A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istParagraph">
    <w:name w:val="List Paragraph"/>
    <w:aliases w:val="List Paragraph 1,Bullets,List Paragraph (numbered (a)),Numbered Paragraph,Main numbered paragraph,List_Paragraph,Multilevel para_II,List Paragraph1,Akapit z listą BS,Bullet1,Numbered list,Dot pt,F5 List Paragraph,Colorful List - Accent 11"/>
    <w:basedOn w:val="Normal"/>
    <w:link w:val="ListParagraphChar"/>
    <w:uiPriority w:val="48"/>
    <w:qFormat/>
    <w:rsid w:val="0074537A"/>
    <w:pPr>
      <w:ind w:left="720"/>
      <w:contextualSpacing/>
    </w:pPr>
  </w:style>
  <w:style w:type="character" w:customStyle="1" w:styleId="ListParagraphChar">
    <w:name w:val="List Paragraph Char"/>
    <w:aliases w:val="List Paragraph 1 Char,Bullets Char,List Paragraph (numbered (a)) Char,Numbered Paragraph Char,Main numbered paragraph Char,List_Paragraph Char,Multilevel para_II Char,List Paragraph1 Char,Akapit z listą BS Char,Bullet1 Char"/>
    <w:link w:val="ListParagraph"/>
    <w:uiPriority w:val="34"/>
    <w:qFormat/>
    <w:locked/>
    <w:rsid w:val="00E6282B"/>
    <w:rPr>
      <w:rFonts w:ascii="Calibri" w:eastAsia="Calibri" w:hAnsi="Calibri" w:cs="Times New Roman"/>
      <w:lang w:val="en-US"/>
    </w:rPr>
  </w:style>
  <w:style w:type="character" w:customStyle="1" w:styleId="a">
    <w:name w:val="Основной текст_"/>
    <w:basedOn w:val="DefaultParagraphFont"/>
    <w:link w:val="1"/>
    <w:uiPriority w:val="99"/>
    <w:rsid w:val="00E6282B"/>
    <w:rPr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E6282B"/>
    <w:pPr>
      <w:widowControl w:val="0"/>
      <w:shd w:val="clear" w:color="auto" w:fill="FFFFFF"/>
      <w:spacing w:before="1200" w:after="540" w:line="295" w:lineRule="exact"/>
    </w:pPr>
    <w:rPr>
      <w:rFonts w:asciiTheme="minorHAnsi" w:eastAsiaTheme="minorHAnsi" w:hAnsiTheme="minorHAnsi" w:cstheme="minorBidi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1E5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67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5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676"/>
    <w:rPr>
      <w:rFonts w:ascii="Calibri" w:eastAsia="Calibri" w:hAnsi="Calibri" w:cs="Times New Roman"/>
      <w:lang w:val="en-US"/>
    </w:rPr>
  </w:style>
  <w:style w:type="character" w:customStyle="1" w:styleId="Heading2Char">
    <w:name w:val="Heading 2 Char"/>
    <w:aliases w:val="EX Heading 2 Char"/>
    <w:basedOn w:val="DefaultParagraphFont"/>
    <w:link w:val="Heading2"/>
    <w:uiPriority w:val="9"/>
    <w:rsid w:val="008C2E6A"/>
    <w:rPr>
      <w:rFonts w:ascii="Calibri Light" w:eastAsia="Times New Roman" w:hAnsi="Calibri Light" w:cs="Times New Roman"/>
      <w:b/>
      <w:color w:val="44546A"/>
      <w:sz w:val="24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7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8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883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88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9788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83"/>
    <w:rPr>
      <w:rFonts w:ascii="Segoe UI" w:eastAsia="Calibri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116FBC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E36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E36876"/>
    <w:rPr>
      <w:rFonts w:ascii="Times New Roman" w:eastAsia="Times New Roman" w:hAnsi="Times New Roman" w:cs="Times New Roman"/>
      <w:sz w:val="26"/>
      <w:szCs w:val="26"/>
      <w:lang w:val="ro-RO"/>
    </w:rPr>
  </w:style>
  <w:style w:type="paragraph" w:customStyle="1" w:styleId="cn">
    <w:name w:val="cn"/>
    <w:basedOn w:val="Normal"/>
    <w:rsid w:val="00DA0A1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table" w:customStyle="1" w:styleId="TableGrid">
    <w:name w:val="TableGrid"/>
    <w:rsid w:val="008C195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rsid w:val="008C1959"/>
    <w:pPr>
      <w:spacing w:after="0"/>
      <w:ind w:left="12"/>
    </w:pPr>
    <w:rPr>
      <w:rFonts w:ascii="Calibri" w:eastAsia="Calibri" w:hAnsi="Calibri" w:cs="Calibri"/>
      <w:color w:val="000000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8C1959"/>
    <w:rPr>
      <w:rFonts w:ascii="Calibri" w:eastAsia="Calibri" w:hAnsi="Calibri" w:cs="Calibri"/>
      <w:color w:val="000000"/>
      <w:sz w:val="16"/>
      <w:lang w:val="en-US"/>
    </w:rPr>
  </w:style>
  <w:style w:type="character" w:customStyle="1" w:styleId="footnotemark">
    <w:name w:val="footnote mark"/>
    <w:hidden/>
    <w:rsid w:val="008C1959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C19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73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73E7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073E7"/>
    <w:rPr>
      <w:vertAlign w:val="superscript"/>
    </w:rPr>
  </w:style>
  <w:style w:type="table" w:customStyle="1" w:styleId="PlainTable11">
    <w:name w:val="Plain Table 11"/>
    <w:basedOn w:val="TableNormal"/>
    <w:next w:val="PlainTable1"/>
    <w:uiPriority w:val="41"/>
    <w:rsid w:val="003C03B4"/>
    <w:pPr>
      <w:spacing w:after="0" w:line="240" w:lineRule="auto"/>
    </w:pPr>
    <w:rPr>
      <w:lang w:val="ro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3C03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0">
    <w:name w:val="Table Grid"/>
    <w:basedOn w:val="TableNormal"/>
    <w:uiPriority w:val="39"/>
    <w:rsid w:val="00D03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x:DEA5201911224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592A6-B930-4E04-B2BF-1A46903B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4</Pages>
  <Words>1898</Words>
  <Characters>10821</Characters>
  <Application>Microsoft Office Word</Application>
  <DocSecurity>0</DocSecurity>
  <Lines>90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3" baseType="lpstr">
      <vt:lpstr/>
      <vt:lpstr/>
      <vt:lpstr>    QD = Ai + TC - TV - Ae</vt:lpstr>
    </vt:vector>
  </TitlesOfParts>
  <Company/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Ilescu</dc:creator>
  <cp:keywords/>
  <dc:description/>
  <cp:lastModifiedBy>E.S</cp:lastModifiedBy>
  <cp:revision>14</cp:revision>
  <cp:lastPrinted>2024-04-23T13:25:00Z</cp:lastPrinted>
  <dcterms:created xsi:type="dcterms:W3CDTF">2024-04-23T06:14:00Z</dcterms:created>
  <dcterms:modified xsi:type="dcterms:W3CDTF">2024-04-26T13:16:00Z</dcterms:modified>
</cp:coreProperties>
</file>